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C6" w:rsidRPr="00350994" w:rsidRDefault="00B131C6" w:rsidP="00AF1C65">
      <w:pPr>
        <w:pStyle w:val="Balk1"/>
        <w:shd w:val="clear" w:color="auto" w:fill="FFFFFF" w:themeFill="background1"/>
        <w:spacing w:line="276" w:lineRule="auto"/>
        <w:ind w:left="567" w:right="534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50994">
        <w:rPr>
          <w:rFonts w:ascii="Times New Roman" w:hAnsi="Times New Roman" w:cs="Times New Roman"/>
          <w:sz w:val="24"/>
          <w:szCs w:val="24"/>
        </w:rPr>
        <w:t>İÇ VE DIŞ PAYDAŞLARLA YÖNETİŞİM POLİTİKASI</w:t>
      </w:r>
    </w:p>
    <w:bookmarkEnd w:id="0"/>
    <w:p w:rsidR="00B131C6" w:rsidRPr="00350994" w:rsidRDefault="00B131C6" w:rsidP="00350994">
      <w:pPr>
        <w:pStyle w:val="Balk1"/>
        <w:shd w:val="clear" w:color="auto" w:fill="FFFFFF" w:themeFill="background1"/>
        <w:spacing w:line="276" w:lineRule="auto"/>
        <w:ind w:left="567" w:right="53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020" w:rsidRPr="00350994" w:rsidRDefault="00C63A19" w:rsidP="00350994">
      <w:pPr>
        <w:pStyle w:val="Balk1"/>
        <w:shd w:val="clear" w:color="auto" w:fill="FFFFFF" w:themeFill="background1"/>
        <w:spacing w:line="276" w:lineRule="auto"/>
        <w:ind w:left="567" w:right="53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0994">
        <w:rPr>
          <w:rFonts w:ascii="Times New Roman" w:hAnsi="Times New Roman" w:cs="Times New Roman"/>
          <w:b w:val="0"/>
          <w:sz w:val="24"/>
          <w:szCs w:val="24"/>
        </w:rPr>
        <w:t xml:space="preserve">İstanbul </w:t>
      </w:r>
      <w:r w:rsidR="00B131C6" w:rsidRPr="00350994">
        <w:rPr>
          <w:rFonts w:ascii="Times New Roman" w:hAnsi="Times New Roman" w:cs="Times New Roman"/>
          <w:b w:val="0"/>
          <w:sz w:val="24"/>
          <w:szCs w:val="24"/>
        </w:rPr>
        <w:t>Beykent Üniversitesi</w:t>
      </w:r>
      <w:r w:rsidRPr="003509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31C6" w:rsidRPr="00350994">
        <w:rPr>
          <w:rFonts w:ascii="Times New Roman" w:hAnsi="Times New Roman" w:cs="Times New Roman"/>
          <w:b w:val="0"/>
          <w:sz w:val="24"/>
          <w:szCs w:val="24"/>
        </w:rPr>
        <w:t>bünyesinde gerçekleştirilen tüm faaliyetlerin sürekli gelişimini tesis etmek üzere hayata geçirilen iç ve dış paydaşlarla yönetişim politikası</w:t>
      </w:r>
      <w:r w:rsidR="00596020" w:rsidRPr="00350994">
        <w:rPr>
          <w:rFonts w:ascii="Times New Roman" w:hAnsi="Times New Roman" w:cs="Times New Roman"/>
          <w:b w:val="0"/>
          <w:sz w:val="24"/>
          <w:szCs w:val="24"/>
        </w:rPr>
        <w:t>,</w:t>
      </w:r>
      <w:r w:rsidR="00B131C6" w:rsidRPr="003509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6020" w:rsidRPr="00350994">
        <w:rPr>
          <w:rFonts w:ascii="Times New Roman" w:hAnsi="Times New Roman" w:cs="Times New Roman"/>
          <w:b w:val="0"/>
          <w:sz w:val="24"/>
          <w:szCs w:val="24"/>
        </w:rPr>
        <w:t>tüm paydaşların kalite güvence ve karar alma süreçlerinde aktif rol alarak süreçlerin şeffaf ve sürdürülebilir bir biçimde paydaşların katkısı ile geliştirilmesi ve yönetilmesini sağlamayı amaçlamaktadır.</w:t>
      </w:r>
    </w:p>
    <w:p w:rsidR="00596020" w:rsidRPr="00350994" w:rsidRDefault="00596020" w:rsidP="00350994">
      <w:pPr>
        <w:pStyle w:val="Balk1"/>
        <w:shd w:val="clear" w:color="auto" w:fill="FFFFFF" w:themeFill="background1"/>
        <w:spacing w:line="276" w:lineRule="auto"/>
        <w:ind w:left="567" w:right="53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3A19" w:rsidRPr="00350994" w:rsidRDefault="00C63A19" w:rsidP="00350994">
      <w:pPr>
        <w:pStyle w:val="Balk1"/>
        <w:shd w:val="clear" w:color="auto" w:fill="FFFFFF" w:themeFill="background1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994">
        <w:rPr>
          <w:rFonts w:ascii="Times New Roman" w:hAnsi="Times New Roman" w:cs="Times New Roman"/>
          <w:sz w:val="24"/>
          <w:szCs w:val="24"/>
        </w:rPr>
        <w:t>Temel Değerler</w:t>
      </w:r>
    </w:p>
    <w:p w:rsidR="00302E66" w:rsidRPr="00350994" w:rsidRDefault="00C63A19" w:rsidP="00350994">
      <w:pPr>
        <w:pStyle w:val="GvdeMetni"/>
        <w:shd w:val="clear" w:color="auto" w:fill="FFFFFF" w:themeFill="background1"/>
        <w:spacing w:before="19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0994">
        <w:rPr>
          <w:rFonts w:ascii="Times New Roman" w:hAnsi="Times New Roman" w:cs="Times New Roman"/>
          <w:sz w:val="24"/>
          <w:szCs w:val="24"/>
        </w:rPr>
        <w:t>Üniversitenin İç ve Dış Paydaşlarla Yönetişim Politikasının dayandığı temel değerler şunlardır:</w:t>
      </w:r>
    </w:p>
    <w:p w:rsidR="00F837D2" w:rsidRPr="00350994" w:rsidRDefault="00596020" w:rsidP="00350994">
      <w:pPr>
        <w:pStyle w:val="GvdeMetni"/>
        <w:numPr>
          <w:ilvl w:val="0"/>
          <w:numId w:val="3"/>
        </w:numPr>
        <w:shd w:val="clear" w:color="auto" w:fill="FFFFFF" w:themeFill="background1"/>
        <w:spacing w:before="19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994">
        <w:rPr>
          <w:rFonts w:ascii="Times New Roman" w:hAnsi="Times New Roman" w:cs="Times New Roman"/>
          <w:b/>
          <w:sz w:val="24"/>
          <w:szCs w:val="24"/>
        </w:rPr>
        <w:t>Katılım</w:t>
      </w:r>
      <w:r w:rsidR="00C63A19" w:rsidRPr="003509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2E66" w:rsidRPr="0035099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02E66" w:rsidRPr="00350994">
        <w:rPr>
          <w:rFonts w:ascii="Times New Roman" w:hAnsi="Times New Roman" w:cs="Times New Roman"/>
          <w:sz w:val="24"/>
          <w:szCs w:val="24"/>
        </w:rPr>
        <w:t xml:space="preserve">Alınan kararlar ve hizmetlerden etkilenen tüm kesimlerin, karar alma ve hizmet geliştirme süreçlerine </w:t>
      </w:r>
      <w:proofErr w:type="gramStart"/>
      <w:r w:rsidR="00302E66" w:rsidRPr="0035099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302E66" w:rsidRPr="00350994">
        <w:rPr>
          <w:rFonts w:ascii="Times New Roman" w:hAnsi="Times New Roman" w:cs="Times New Roman"/>
          <w:sz w:val="24"/>
          <w:szCs w:val="24"/>
        </w:rPr>
        <w:t xml:space="preserve"> edilerek süreçlerin birlikte</w:t>
      </w:r>
      <w:r w:rsidR="00302E66" w:rsidRPr="003509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şekillendirilmesini temsil etmektedir.</w:t>
      </w:r>
    </w:p>
    <w:p w:rsidR="00F837D2" w:rsidRPr="00350994" w:rsidRDefault="00C63A19" w:rsidP="00350994">
      <w:pPr>
        <w:pStyle w:val="GvdeMetni"/>
        <w:numPr>
          <w:ilvl w:val="0"/>
          <w:numId w:val="3"/>
        </w:numPr>
        <w:shd w:val="clear" w:color="auto" w:fill="FFFFFF" w:themeFill="background1"/>
        <w:spacing w:before="19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994">
        <w:rPr>
          <w:rFonts w:ascii="Times New Roman" w:hAnsi="Times New Roman" w:cs="Times New Roman"/>
          <w:b/>
          <w:sz w:val="24"/>
          <w:szCs w:val="24"/>
        </w:rPr>
        <w:t>Sürekli İyileştirme:</w:t>
      </w:r>
      <w:r w:rsidRPr="00350994">
        <w:rPr>
          <w:rFonts w:ascii="Times New Roman" w:hAnsi="Times New Roman" w:cs="Times New Roman"/>
          <w:sz w:val="24"/>
          <w:szCs w:val="24"/>
        </w:rPr>
        <w:t xml:space="preserve"> Üniversite</w:t>
      </w:r>
      <w:r w:rsidR="00302E66" w:rsidRPr="00350994">
        <w:rPr>
          <w:rFonts w:ascii="Times New Roman" w:hAnsi="Times New Roman" w:cs="Times New Roman"/>
          <w:sz w:val="24"/>
          <w:szCs w:val="24"/>
        </w:rPr>
        <w:t>’nin</w:t>
      </w:r>
      <w:r w:rsidRPr="00350994">
        <w:rPr>
          <w:rFonts w:ascii="Times New Roman" w:hAnsi="Times New Roman" w:cs="Times New Roman"/>
          <w:sz w:val="24"/>
          <w:szCs w:val="24"/>
        </w:rPr>
        <w:t xml:space="preserve"> yürüttüğü tüm süreçlerde sürekl</w:t>
      </w:r>
      <w:r w:rsidR="00302E66" w:rsidRPr="00350994">
        <w:rPr>
          <w:rFonts w:ascii="Times New Roman" w:hAnsi="Times New Roman" w:cs="Times New Roman"/>
          <w:sz w:val="24"/>
          <w:szCs w:val="24"/>
        </w:rPr>
        <w:t>i iyileştirme ilkesini esas alınmasını temsil etmektedir.</w:t>
      </w:r>
    </w:p>
    <w:p w:rsidR="00F837D2" w:rsidRPr="00350994" w:rsidRDefault="00302E66" w:rsidP="00350994">
      <w:pPr>
        <w:pStyle w:val="GvdeMetni"/>
        <w:numPr>
          <w:ilvl w:val="0"/>
          <w:numId w:val="3"/>
        </w:numPr>
        <w:shd w:val="clear" w:color="auto" w:fill="FFFFFF" w:themeFill="background1"/>
        <w:spacing w:before="19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994">
        <w:rPr>
          <w:rFonts w:ascii="Times New Roman" w:hAnsi="Times New Roman" w:cs="Times New Roman"/>
          <w:b/>
          <w:sz w:val="24"/>
          <w:szCs w:val="24"/>
        </w:rPr>
        <w:t>Sürdürülebilir Yönetim:</w:t>
      </w:r>
      <w:r w:rsidRPr="00350994">
        <w:rPr>
          <w:rFonts w:ascii="Times New Roman" w:hAnsi="Times New Roman" w:cs="Times New Roman"/>
          <w:sz w:val="24"/>
          <w:szCs w:val="24"/>
        </w:rPr>
        <w:t xml:space="preserve"> Üniversite’nin</w:t>
      </w:r>
      <w:r w:rsidR="00350994">
        <w:rPr>
          <w:rFonts w:ascii="Times New Roman" w:hAnsi="Times New Roman" w:cs="Times New Roman"/>
          <w:sz w:val="24"/>
          <w:szCs w:val="24"/>
        </w:rPr>
        <w:t xml:space="preserve"> tüm faaliyetlerinde yüksek katma değer üretmesi ve rekabetçi sürdürülebilirlik yetkinliklerini arttırmasını temsil etmektedir. </w:t>
      </w:r>
      <w:r w:rsidRPr="00350994">
        <w:rPr>
          <w:rFonts w:ascii="Times New Roman" w:hAnsi="Times New Roman" w:cs="Times New Roman"/>
          <w:sz w:val="24"/>
          <w:szCs w:val="24"/>
          <w:shd w:val="clear" w:color="auto" w:fill="F7F9FB"/>
        </w:rPr>
        <w:t xml:space="preserve"> </w:t>
      </w:r>
    </w:p>
    <w:p w:rsidR="00F837D2" w:rsidRPr="00350994" w:rsidRDefault="00C63A19" w:rsidP="00350994">
      <w:pPr>
        <w:pStyle w:val="GvdeMetni"/>
        <w:numPr>
          <w:ilvl w:val="0"/>
          <w:numId w:val="3"/>
        </w:numPr>
        <w:shd w:val="clear" w:color="auto" w:fill="FFFFFF" w:themeFill="background1"/>
        <w:spacing w:before="19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0994">
        <w:rPr>
          <w:rFonts w:ascii="Times New Roman" w:hAnsi="Times New Roman" w:cs="Times New Roman"/>
          <w:b/>
          <w:sz w:val="24"/>
          <w:szCs w:val="24"/>
        </w:rPr>
        <w:t>Açıklık ve şeffaflık:</w:t>
      </w:r>
      <w:r w:rsidRPr="00350994">
        <w:rPr>
          <w:rFonts w:ascii="Times New Roman" w:hAnsi="Times New Roman" w:cs="Times New Roman"/>
          <w:sz w:val="24"/>
          <w:szCs w:val="24"/>
        </w:rPr>
        <w:t xml:space="preserve"> Üniversite</w:t>
      </w:r>
      <w:r w:rsidR="00302E66" w:rsidRPr="00350994">
        <w:rPr>
          <w:rFonts w:ascii="Times New Roman" w:hAnsi="Times New Roman" w:cs="Times New Roman"/>
          <w:sz w:val="24"/>
          <w:szCs w:val="24"/>
        </w:rPr>
        <w:t>’nin</w:t>
      </w:r>
      <w:r w:rsidRPr="00350994">
        <w:rPr>
          <w:rFonts w:ascii="Times New Roman" w:hAnsi="Times New Roman" w:cs="Times New Roman"/>
          <w:sz w:val="24"/>
          <w:szCs w:val="24"/>
        </w:rPr>
        <w:t xml:space="preserve"> tüm paydaşlarına yönelik olarak </w:t>
      </w:r>
      <w:r w:rsidR="00302E66" w:rsidRPr="00350994">
        <w:rPr>
          <w:rFonts w:ascii="Times New Roman" w:hAnsi="Times New Roman" w:cs="Times New Roman"/>
          <w:sz w:val="24"/>
          <w:szCs w:val="24"/>
        </w:rPr>
        <w:t xml:space="preserve">benimsediği </w:t>
      </w:r>
      <w:r w:rsidRPr="00350994">
        <w:rPr>
          <w:rFonts w:ascii="Times New Roman" w:hAnsi="Times New Roman" w:cs="Times New Roman"/>
          <w:sz w:val="24"/>
          <w:szCs w:val="24"/>
        </w:rPr>
        <w:t>açık ve şeffaf iletişim</w:t>
      </w:r>
      <w:r w:rsidR="00F837D2" w:rsidRPr="00350994">
        <w:rPr>
          <w:rFonts w:ascii="Times New Roman" w:hAnsi="Times New Roman" w:cs="Times New Roman"/>
          <w:sz w:val="24"/>
          <w:szCs w:val="24"/>
        </w:rPr>
        <w:t>i temsil etmektedir.</w:t>
      </w:r>
    </w:p>
    <w:p w:rsidR="00C63A19" w:rsidRPr="00350994" w:rsidRDefault="00C63A19" w:rsidP="00350994">
      <w:pPr>
        <w:pStyle w:val="GvdeMetni"/>
        <w:numPr>
          <w:ilvl w:val="0"/>
          <w:numId w:val="3"/>
        </w:numPr>
        <w:shd w:val="clear" w:color="auto" w:fill="FFFFFF" w:themeFill="background1"/>
        <w:spacing w:before="195"/>
        <w:jc w:val="both"/>
        <w:rPr>
          <w:rFonts w:ascii="Times New Roman" w:hAnsi="Times New Roman" w:cs="Times New Roman"/>
          <w:sz w:val="24"/>
          <w:szCs w:val="24"/>
        </w:rPr>
      </w:pPr>
      <w:r w:rsidRPr="00350994">
        <w:rPr>
          <w:rFonts w:ascii="Times New Roman" w:hAnsi="Times New Roman" w:cs="Times New Roman"/>
          <w:b/>
          <w:sz w:val="24"/>
          <w:szCs w:val="24"/>
        </w:rPr>
        <w:t>Gizlilik:</w:t>
      </w:r>
      <w:r w:rsidRPr="00350994">
        <w:rPr>
          <w:rFonts w:ascii="Times New Roman" w:hAnsi="Times New Roman" w:cs="Times New Roman"/>
          <w:sz w:val="24"/>
          <w:szCs w:val="24"/>
        </w:rPr>
        <w:t xml:space="preserve"> Üniversite</w:t>
      </w:r>
      <w:r w:rsidR="00F837D2" w:rsidRPr="00350994">
        <w:rPr>
          <w:rFonts w:ascii="Times New Roman" w:hAnsi="Times New Roman" w:cs="Times New Roman"/>
          <w:sz w:val="24"/>
          <w:szCs w:val="24"/>
        </w:rPr>
        <w:t>’nin</w:t>
      </w:r>
      <w:r w:rsidRPr="00350994">
        <w:rPr>
          <w:rFonts w:ascii="Times New Roman" w:hAnsi="Times New Roman" w:cs="Times New Roman"/>
          <w:sz w:val="24"/>
          <w:szCs w:val="24"/>
        </w:rPr>
        <w:t xml:space="preserve"> paydaşları ile </w:t>
      </w:r>
      <w:r w:rsidR="00F837D2" w:rsidRPr="00350994">
        <w:rPr>
          <w:rFonts w:ascii="Times New Roman" w:hAnsi="Times New Roman" w:cs="Times New Roman"/>
          <w:sz w:val="24"/>
          <w:szCs w:val="24"/>
        </w:rPr>
        <w:t>birlikte yürüttüğü çalışmalar kapsamındaki</w:t>
      </w:r>
      <w:r w:rsidRPr="00350994">
        <w:rPr>
          <w:rFonts w:ascii="Times New Roman" w:hAnsi="Times New Roman" w:cs="Times New Roman"/>
          <w:sz w:val="24"/>
          <w:szCs w:val="24"/>
        </w:rPr>
        <w:t xml:space="preserve"> bilgi ve belgeleri</w:t>
      </w:r>
      <w:r w:rsidR="00F837D2" w:rsidRPr="00350994">
        <w:rPr>
          <w:rFonts w:ascii="Times New Roman" w:hAnsi="Times New Roman" w:cs="Times New Roman"/>
          <w:sz w:val="24"/>
          <w:szCs w:val="24"/>
        </w:rPr>
        <w:t>n gizliliğini temsil etmektedir.</w:t>
      </w:r>
    </w:p>
    <w:p w:rsidR="00F837D2" w:rsidRPr="00350994" w:rsidRDefault="00F837D2" w:rsidP="00350994">
      <w:pPr>
        <w:pStyle w:val="GvdeMetni"/>
        <w:shd w:val="clear" w:color="auto" w:fill="FFFFFF" w:themeFill="background1"/>
        <w:spacing w:before="195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63A19" w:rsidRPr="00350994" w:rsidRDefault="00C63A19" w:rsidP="00350994">
      <w:pPr>
        <w:pStyle w:val="Balk1"/>
        <w:shd w:val="clear" w:color="auto" w:fill="FFFFFF" w:themeFill="background1"/>
        <w:spacing w:before="166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994">
        <w:rPr>
          <w:rFonts w:ascii="Times New Roman" w:hAnsi="Times New Roman" w:cs="Times New Roman"/>
          <w:sz w:val="24"/>
          <w:szCs w:val="24"/>
        </w:rPr>
        <w:t>İç Ve Dış Paydaşlarla Yönetişim Politikası Stratejisi:</w:t>
      </w:r>
    </w:p>
    <w:p w:rsidR="00F837D2" w:rsidRPr="00350994" w:rsidRDefault="00F837D2" w:rsidP="00350994">
      <w:pPr>
        <w:pStyle w:val="Balk1"/>
        <w:shd w:val="clear" w:color="auto" w:fill="FFFFFF" w:themeFill="background1"/>
        <w:spacing w:before="166"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3A19" w:rsidRPr="00350994" w:rsidRDefault="00C63A19" w:rsidP="00350994">
      <w:pPr>
        <w:pStyle w:val="Balk1"/>
        <w:shd w:val="clear" w:color="auto" w:fill="FFFFFF" w:themeFill="background1"/>
        <w:spacing w:before="166"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0994">
        <w:rPr>
          <w:rFonts w:ascii="Times New Roman" w:hAnsi="Times New Roman" w:cs="Times New Roman"/>
          <w:b w:val="0"/>
          <w:sz w:val="24"/>
          <w:szCs w:val="24"/>
        </w:rPr>
        <w:t>Bu değerler etrafında şekillenen İç ve Dış Paydaşlarla Yönetişim Politikasının temel taşları şunlardır:</w:t>
      </w:r>
    </w:p>
    <w:p w:rsidR="00C63A19" w:rsidRPr="00350994" w:rsidRDefault="00C63A19" w:rsidP="00350994">
      <w:pPr>
        <w:pStyle w:val="Balk1"/>
        <w:shd w:val="clear" w:color="auto" w:fill="FFFFFF" w:themeFill="background1"/>
        <w:spacing w:before="166" w:line="276" w:lineRule="auto"/>
        <w:ind w:left="567" w:right="53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0994">
        <w:rPr>
          <w:rFonts w:ascii="Times New Roman" w:hAnsi="Times New Roman" w:cs="Times New Roman"/>
          <w:b w:val="0"/>
          <w:sz w:val="24"/>
          <w:szCs w:val="24"/>
        </w:rPr>
        <w:t xml:space="preserve">       Üniversitenin Stratejik Planının hazırlanması ve </w:t>
      </w:r>
      <w:r w:rsidR="00F837D2" w:rsidRPr="00350994">
        <w:rPr>
          <w:rFonts w:ascii="Times New Roman" w:hAnsi="Times New Roman" w:cs="Times New Roman"/>
          <w:b w:val="0"/>
          <w:sz w:val="24"/>
          <w:szCs w:val="24"/>
        </w:rPr>
        <w:t>faaliyetlere yönelik</w:t>
      </w:r>
      <w:r w:rsidRPr="00350994">
        <w:rPr>
          <w:rFonts w:ascii="Times New Roman" w:hAnsi="Times New Roman" w:cs="Times New Roman"/>
          <w:b w:val="0"/>
          <w:sz w:val="24"/>
          <w:szCs w:val="24"/>
        </w:rPr>
        <w:t xml:space="preserve"> alınan tüm karar </w:t>
      </w:r>
      <w:r w:rsidR="00F837D2" w:rsidRPr="00350994">
        <w:rPr>
          <w:rFonts w:ascii="Times New Roman" w:hAnsi="Times New Roman" w:cs="Times New Roman"/>
          <w:b w:val="0"/>
          <w:sz w:val="24"/>
          <w:szCs w:val="24"/>
        </w:rPr>
        <w:t>süreçlerine</w:t>
      </w:r>
      <w:r w:rsidRPr="00350994">
        <w:rPr>
          <w:rFonts w:ascii="Times New Roman" w:hAnsi="Times New Roman" w:cs="Times New Roman"/>
          <w:b w:val="0"/>
          <w:sz w:val="24"/>
          <w:szCs w:val="24"/>
        </w:rPr>
        <w:t xml:space="preserve"> iç ve dış paydaşlarının geniş kapsamlı katılımının sağlanması.</w:t>
      </w:r>
    </w:p>
    <w:p w:rsidR="00C63A19" w:rsidRPr="00350994" w:rsidRDefault="00C63A19" w:rsidP="00350994">
      <w:pPr>
        <w:pStyle w:val="Balk1"/>
        <w:shd w:val="clear" w:color="auto" w:fill="FFFFFF" w:themeFill="background1"/>
        <w:spacing w:before="166" w:line="276" w:lineRule="auto"/>
        <w:ind w:left="567" w:right="53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0994">
        <w:rPr>
          <w:rFonts w:ascii="Times New Roman" w:hAnsi="Times New Roman" w:cs="Times New Roman"/>
          <w:b w:val="0"/>
          <w:sz w:val="24"/>
          <w:szCs w:val="24"/>
        </w:rPr>
        <w:t xml:space="preserve">        Üniversite Senato’su dâhil olmak üzere Kalite Komisyonu gibi komisyonlarda görüşülen konular ile ilişkili olarak sürekli ya da geçici temsilciler şeklinde tüm paydaşların görüş ve önerinin alınması.</w:t>
      </w:r>
    </w:p>
    <w:p w:rsidR="00C63A19" w:rsidRPr="00350994" w:rsidRDefault="00C63A19" w:rsidP="00350994">
      <w:pPr>
        <w:pStyle w:val="Balk1"/>
        <w:shd w:val="clear" w:color="auto" w:fill="FFFFFF" w:themeFill="background1"/>
        <w:spacing w:before="166" w:line="276" w:lineRule="auto"/>
        <w:ind w:left="720" w:right="534" w:firstLine="15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0994">
        <w:rPr>
          <w:rFonts w:ascii="Times New Roman" w:hAnsi="Times New Roman" w:cs="Times New Roman"/>
          <w:b w:val="0"/>
          <w:sz w:val="24"/>
          <w:szCs w:val="24"/>
        </w:rPr>
        <w:t>Paydaşlar ile ilişkilerin sağlıklı şekilde yürütülmesi adına Üniversite bünyesinde geniş katılımlı komisyon kurulması ve iç ve dış tüm paydaşların görüş ve önerilerinin düzenli olarak takibinin yapılması.</w:t>
      </w:r>
    </w:p>
    <w:p w:rsidR="00C63A19" w:rsidRPr="00350994" w:rsidRDefault="00C63A19" w:rsidP="00350994">
      <w:pPr>
        <w:pStyle w:val="Balk1"/>
        <w:shd w:val="clear" w:color="auto" w:fill="FFFFFF" w:themeFill="background1"/>
        <w:spacing w:before="166" w:line="276" w:lineRule="auto"/>
        <w:ind w:right="53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099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Tüm paydaşların toplantılar ve komisyonlar dışında görüş ve önerilerini kolayca iletebilmesi ve bu süreçlerin şeffaf olarak yürütülmesi adına </w:t>
      </w:r>
      <w:proofErr w:type="gramStart"/>
      <w:r w:rsidRPr="00350994">
        <w:rPr>
          <w:rFonts w:ascii="Times New Roman" w:hAnsi="Times New Roman" w:cs="Times New Roman"/>
          <w:b w:val="0"/>
          <w:sz w:val="24"/>
          <w:szCs w:val="24"/>
        </w:rPr>
        <w:t>online</w:t>
      </w:r>
      <w:proofErr w:type="gramEnd"/>
      <w:r w:rsidRPr="00350994">
        <w:rPr>
          <w:rFonts w:ascii="Times New Roman" w:hAnsi="Times New Roman" w:cs="Times New Roman"/>
          <w:b w:val="0"/>
          <w:sz w:val="24"/>
          <w:szCs w:val="24"/>
        </w:rPr>
        <w:t xml:space="preserve"> ve yazılı talep/şikayet mekanizmalarının güçlendirilmesi, geliştirilmesi ve Komisyon tarafından düzenli takibinin yapılması. </w:t>
      </w:r>
    </w:p>
    <w:p w:rsidR="00F837D2" w:rsidRPr="00350994" w:rsidRDefault="00F837D2" w:rsidP="00350994">
      <w:pPr>
        <w:pStyle w:val="Balk1"/>
        <w:shd w:val="clear" w:color="auto" w:fill="FFFFFF" w:themeFill="background1"/>
        <w:spacing w:before="165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3A19" w:rsidRPr="00350994" w:rsidRDefault="00350994" w:rsidP="00350994">
      <w:pPr>
        <w:pStyle w:val="Balk1"/>
        <w:shd w:val="clear" w:color="auto" w:fill="FFFFFF" w:themeFill="background1"/>
        <w:spacing w:before="165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v</w:t>
      </w:r>
      <w:r w:rsidR="00C63A19" w:rsidRPr="00350994">
        <w:rPr>
          <w:rFonts w:ascii="Times New Roman" w:hAnsi="Times New Roman" w:cs="Times New Roman"/>
          <w:sz w:val="24"/>
          <w:szCs w:val="24"/>
        </w:rPr>
        <w:t>e Dış Paydaşlarla Yönetişim Politikası Hedefleri:</w:t>
      </w:r>
    </w:p>
    <w:p w:rsidR="00C63A19" w:rsidRPr="00350994" w:rsidRDefault="00C63A19" w:rsidP="00350994">
      <w:pPr>
        <w:pStyle w:val="Balk1"/>
        <w:shd w:val="clear" w:color="auto" w:fill="FFFFFF" w:themeFill="background1"/>
        <w:spacing w:before="165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3A19" w:rsidRPr="00350994" w:rsidRDefault="00C63A19" w:rsidP="00350994">
      <w:pPr>
        <w:pStyle w:val="ListeParagraf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994">
        <w:rPr>
          <w:rFonts w:ascii="Times New Roman" w:hAnsi="Times New Roman" w:cs="Times New Roman"/>
          <w:bCs/>
          <w:sz w:val="24"/>
          <w:szCs w:val="24"/>
        </w:rPr>
        <w:t xml:space="preserve">Sürdürülebilir paydaş ilişkileri </w:t>
      </w:r>
      <w:r w:rsidR="00F837D2" w:rsidRPr="00350994">
        <w:rPr>
          <w:rFonts w:ascii="Times New Roman" w:hAnsi="Times New Roman" w:cs="Times New Roman"/>
          <w:bCs/>
          <w:sz w:val="24"/>
          <w:szCs w:val="24"/>
        </w:rPr>
        <w:t>tesis etmek,</w:t>
      </w:r>
    </w:p>
    <w:p w:rsidR="00C63A19" w:rsidRPr="00350994" w:rsidRDefault="00C63A19" w:rsidP="00350994">
      <w:pPr>
        <w:pStyle w:val="Balk1"/>
        <w:numPr>
          <w:ilvl w:val="0"/>
          <w:numId w:val="2"/>
        </w:numPr>
        <w:shd w:val="clear" w:color="auto" w:fill="FFFFFF" w:themeFill="background1"/>
        <w:spacing w:before="16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0994">
        <w:rPr>
          <w:rFonts w:ascii="Times New Roman" w:hAnsi="Times New Roman" w:cs="Times New Roman"/>
          <w:b w:val="0"/>
          <w:sz w:val="24"/>
          <w:szCs w:val="24"/>
        </w:rPr>
        <w:t>Kurumsal aidiyet ve karşılıklı bağların güçlendirilmesini sağlamak</w:t>
      </w:r>
      <w:r w:rsidR="00F837D2" w:rsidRPr="00350994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F837D2" w:rsidRPr="00350994" w:rsidRDefault="00F837D2" w:rsidP="00350994">
      <w:pPr>
        <w:pStyle w:val="Balk1"/>
        <w:numPr>
          <w:ilvl w:val="0"/>
          <w:numId w:val="2"/>
        </w:numPr>
        <w:shd w:val="clear" w:color="auto" w:fill="FFFFFF" w:themeFill="background1"/>
        <w:spacing w:before="16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0994">
        <w:rPr>
          <w:rFonts w:ascii="Times New Roman" w:hAnsi="Times New Roman" w:cs="Times New Roman"/>
          <w:b w:val="0"/>
          <w:sz w:val="24"/>
          <w:szCs w:val="24"/>
        </w:rPr>
        <w:t>Üniversite faaliyetlerinin sürekli iyileştirilmesi,</w:t>
      </w:r>
    </w:p>
    <w:p w:rsidR="00F837D2" w:rsidRPr="00350994" w:rsidRDefault="00C63A19" w:rsidP="00350994">
      <w:pPr>
        <w:pStyle w:val="Balk1"/>
        <w:numPr>
          <w:ilvl w:val="0"/>
          <w:numId w:val="2"/>
        </w:numPr>
        <w:shd w:val="clear" w:color="auto" w:fill="FFFFFF" w:themeFill="background1"/>
        <w:spacing w:before="16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0994">
        <w:rPr>
          <w:rFonts w:ascii="Times New Roman" w:hAnsi="Times New Roman" w:cs="Times New Roman"/>
          <w:b w:val="0"/>
          <w:sz w:val="24"/>
          <w:szCs w:val="24"/>
        </w:rPr>
        <w:t xml:space="preserve">Geniş </w:t>
      </w:r>
      <w:r w:rsidR="00F837D2" w:rsidRPr="00350994">
        <w:rPr>
          <w:rFonts w:ascii="Times New Roman" w:hAnsi="Times New Roman" w:cs="Times New Roman"/>
          <w:b w:val="0"/>
          <w:sz w:val="24"/>
          <w:szCs w:val="24"/>
        </w:rPr>
        <w:t xml:space="preserve">çaplı </w:t>
      </w:r>
      <w:r w:rsidRPr="00350994">
        <w:rPr>
          <w:rFonts w:ascii="Times New Roman" w:hAnsi="Times New Roman" w:cs="Times New Roman"/>
          <w:b w:val="0"/>
          <w:sz w:val="24"/>
          <w:szCs w:val="24"/>
        </w:rPr>
        <w:t xml:space="preserve">bir </w:t>
      </w:r>
      <w:r w:rsidR="00F837D2" w:rsidRPr="00350994">
        <w:rPr>
          <w:rFonts w:ascii="Times New Roman" w:hAnsi="Times New Roman" w:cs="Times New Roman"/>
          <w:b w:val="0"/>
          <w:sz w:val="24"/>
          <w:szCs w:val="24"/>
        </w:rPr>
        <w:t>katılım ile yönetişim süreçlerinin kalitesini yükseltmek,</w:t>
      </w:r>
    </w:p>
    <w:p w:rsidR="00C63A19" w:rsidRPr="00350994" w:rsidRDefault="00C63A19" w:rsidP="00350994">
      <w:pPr>
        <w:pStyle w:val="Balk1"/>
        <w:numPr>
          <w:ilvl w:val="0"/>
          <w:numId w:val="2"/>
        </w:numPr>
        <w:shd w:val="clear" w:color="auto" w:fill="FFFFFF" w:themeFill="background1"/>
        <w:spacing w:before="16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0994">
        <w:rPr>
          <w:rFonts w:ascii="Times New Roman" w:hAnsi="Times New Roman" w:cs="Times New Roman"/>
          <w:b w:val="0"/>
          <w:sz w:val="24"/>
          <w:szCs w:val="24"/>
        </w:rPr>
        <w:t>Üniversitenin iç ve dış katılımcılar va</w:t>
      </w:r>
      <w:r w:rsidR="00F837D2" w:rsidRPr="00350994">
        <w:rPr>
          <w:rFonts w:ascii="Times New Roman" w:hAnsi="Times New Roman" w:cs="Times New Roman"/>
          <w:b w:val="0"/>
          <w:sz w:val="24"/>
          <w:szCs w:val="24"/>
        </w:rPr>
        <w:t>sıtası ile denetim süreçlerinin kalitesini arttırmak.</w:t>
      </w:r>
    </w:p>
    <w:p w:rsidR="00C63A19" w:rsidRPr="00350994" w:rsidRDefault="00C63A19" w:rsidP="00350994">
      <w:pPr>
        <w:pStyle w:val="Balk1"/>
        <w:shd w:val="clear" w:color="auto" w:fill="FFFFFF" w:themeFill="background1"/>
        <w:spacing w:before="165"/>
        <w:ind w:left="128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3A19" w:rsidRPr="00350994" w:rsidRDefault="00C63A19" w:rsidP="00350994">
      <w:pPr>
        <w:pStyle w:val="GvdeMetni"/>
        <w:shd w:val="clear" w:color="auto" w:fill="FFFFFF" w:themeFill="background1"/>
        <w:spacing w:before="184" w:line="276" w:lineRule="auto"/>
        <w:ind w:left="567" w:right="546"/>
        <w:jc w:val="both"/>
        <w:rPr>
          <w:rFonts w:ascii="Times New Roman" w:hAnsi="Times New Roman" w:cs="Times New Roman"/>
          <w:sz w:val="24"/>
          <w:szCs w:val="24"/>
        </w:rPr>
      </w:pPr>
    </w:p>
    <w:p w:rsidR="00C63A19" w:rsidRPr="00350994" w:rsidRDefault="00C63A19" w:rsidP="00350994">
      <w:pPr>
        <w:pStyle w:val="GvdeMetni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C63A19" w:rsidRPr="00350994" w:rsidRDefault="00C63A19" w:rsidP="00350994">
      <w:pPr>
        <w:pStyle w:val="GvdeMetni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550042" w:rsidRPr="00350994" w:rsidRDefault="00550042" w:rsidP="0035099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550042" w:rsidRPr="0035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47A"/>
    <w:multiLevelType w:val="hybridMultilevel"/>
    <w:tmpl w:val="8CBC7D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CC408B2"/>
    <w:multiLevelType w:val="hybridMultilevel"/>
    <w:tmpl w:val="45AEA412"/>
    <w:lvl w:ilvl="0" w:tplc="2564D5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486E17"/>
    <w:multiLevelType w:val="hybridMultilevel"/>
    <w:tmpl w:val="7A0ED432"/>
    <w:lvl w:ilvl="0" w:tplc="3968DBBC">
      <w:start w:val="1"/>
      <w:numFmt w:val="decimal"/>
      <w:lvlText w:val="%1."/>
      <w:lvlJc w:val="left"/>
      <w:pPr>
        <w:ind w:left="1526" w:hanging="428"/>
      </w:pPr>
      <w:rPr>
        <w:rFonts w:ascii="Tahoma" w:eastAsia="Tahoma" w:hAnsi="Tahoma" w:cs="Tahoma" w:hint="default"/>
        <w:spacing w:val="-1"/>
        <w:w w:val="99"/>
        <w:sz w:val="20"/>
        <w:szCs w:val="20"/>
        <w:lang w:val="tr-TR" w:eastAsia="en-US" w:bidi="ar-SA"/>
      </w:rPr>
    </w:lvl>
    <w:lvl w:ilvl="1" w:tplc="3D763856">
      <w:numFmt w:val="bullet"/>
      <w:lvlText w:val="•"/>
      <w:lvlJc w:val="left"/>
      <w:pPr>
        <w:ind w:left="2438" w:hanging="428"/>
      </w:pPr>
      <w:rPr>
        <w:rFonts w:hint="default"/>
        <w:lang w:val="tr-TR" w:eastAsia="en-US" w:bidi="ar-SA"/>
      </w:rPr>
    </w:lvl>
    <w:lvl w:ilvl="2" w:tplc="8416CBE6">
      <w:numFmt w:val="bullet"/>
      <w:lvlText w:val="•"/>
      <w:lvlJc w:val="left"/>
      <w:pPr>
        <w:ind w:left="3357" w:hanging="428"/>
      </w:pPr>
      <w:rPr>
        <w:rFonts w:hint="default"/>
        <w:lang w:val="tr-TR" w:eastAsia="en-US" w:bidi="ar-SA"/>
      </w:rPr>
    </w:lvl>
    <w:lvl w:ilvl="3" w:tplc="EAD69040">
      <w:numFmt w:val="bullet"/>
      <w:lvlText w:val="•"/>
      <w:lvlJc w:val="left"/>
      <w:pPr>
        <w:ind w:left="4275" w:hanging="428"/>
      </w:pPr>
      <w:rPr>
        <w:rFonts w:hint="default"/>
        <w:lang w:val="tr-TR" w:eastAsia="en-US" w:bidi="ar-SA"/>
      </w:rPr>
    </w:lvl>
    <w:lvl w:ilvl="4" w:tplc="5ED6B844">
      <w:numFmt w:val="bullet"/>
      <w:lvlText w:val="•"/>
      <w:lvlJc w:val="left"/>
      <w:pPr>
        <w:ind w:left="5194" w:hanging="428"/>
      </w:pPr>
      <w:rPr>
        <w:rFonts w:hint="default"/>
        <w:lang w:val="tr-TR" w:eastAsia="en-US" w:bidi="ar-SA"/>
      </w:rPr>
    </w:lvl>
    <w:lvl w:ilvl="5" w:tplc="BD10BD10">
      <w:numFmt w:val="bullet"/>
      <w:lvlText w:val="•"/>
      <w:lvlJc w:val="left"/>
      <w:pPr>
        <w:ind w:left="6113" w:hanging="428"/>
      </w:pPr>
      <w:rPr>
        <w:rFonts w:hint="default"/>
        <w:lang w:val="tr-TR" w:eastAsia="en-US" w:bidi="ar-SA"/>
      </w:rPr>
    </w:lvl>
    <w:lvl w:ilvl="6" w:tplc="8618EB40">
      <w:numFmt w:val="bullet"/>
      <w:lvlText w:val="•"/>
      <w:lvlJc w:val="left"/>
      <w:pPr>
        <w:ind w:left="7031" w:hanging="428"/>
      </w:pPr>
      <w:rPr>
        <w:rFonts w:hint="default"/>
        <w:lang w:val="tr-TR" w:eastAsia="en-US" w:bidi="ar-SA"/>
      </w:rPr>
    </w:lvl>
    <w:lvl w:ilvl="7" w:tplc="AAE8050A">
      <w:numFmt w:val="bullet"/>
      <w:lvlText w:val="•"/>
      <w:lvlJc w:val="left"/>
      <w:pPr>
        <w:ind w:left="7950" w:hanging="428"/>
      </w:pPr>
      <w:rPr>
        <w:rFonts w:hint="default"/>
        <w:lang w:val="tr-TR" w:eastAsia="en-US" w:bidi="ar-SA"/>
      </w:rPr>
    </w:lvl>
    <w:lvl w:ilvl="8" w:tplc="C6729382">
      <w:numFmt w:val="bullet"/>
      <w:lvlText w:val="•"/>
      <w:lvlJc w:val="left"/>
      <w:pPr>
        <w:ind w:left="8869" w:hanging="428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19"/>
    <w:rsid w:val="00302E66"/>
    <w:rsid w:val="00350994"/>
    <w:rsid w:val="00550042"/>
    <w:rsid w:val="00596020"/>
    <w:rsid w:val="00AF1C65"/>
    <w:rsid w:val="00B131C6"/>
    <w:rsid w:val="00C63A19"/>
    <w:rsid w:val="00F8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D5A43-1206-41C2-B672-B7EF2BC5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C63A19"/>
    <w:pPr>
      <w:widowControl w:val="0"/>
      <w:autoSpaceDE w:val="0"/>
      <w:autoSpaceDN w:val="0"/>
      <w:spacing w:before="157" w:after="0" w:line="240" w:lineRule="auto"/>
      <w:ind w:left="566" w:hanging="360"/>
      <w:outlineLvl w:val="0"/>
    </w:pPr>
    <w:rPr>
      <w:rFonts w:ascii="Tahoma" w:eastAsia="Tahoma" w:hAnsi="Tahoma" w:cs="Tahoma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63A19"/>
    <w:rPr>
      <w:rFonts w:ascii="Tahoma" w:eastAsia="Tahoma" w:hAnsi="Tahoma" w:cs="Tahoma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C63A1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63A19"/>
    <w:rPr>
      <w:rFonts w:ascii="Tahoma" w:eastAsia="Tahoma" w:hAnsi="Tahoma" w:cs="Tahoma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34"/>
    <w:qFormat/>
    <w:rsid w:val="00C63A19"/>
    <w:pPr>
      <w:widowControl w:val="0"/>
      <w:autoSpaceDE w:val="0"/>
      <w:autoSpaceDN w:val="0"/>
      <w:spacing w:after="0" w:line="240" w:lineRule="auto"/>
      <w:ind w:left="1241" w:hanging="281"/>
    </w:pPr>
    <w:rPr>
      <w:rFonts w:ascii="Tahoma" w:eastAsia="Tahoma" w:hAnsi="Tahoma" w:cs="Tahom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 Güzin ALSAN</dc:creator>
  <cp:keywords/>
  <dc:description/>
  <cp:lastModifiedBy>Aslıhan Güzin ALSAN</cp:lastModifiedBy>
  <cp:revision>3</cp:revision>
  <dcterms:created xsi:type="dcterms:W3CDTF">2023-10-31T08:38:00Z</dcterms:created>
  <dcterms:modified xsi:type="dcterms:W3CDTF">2023-10-31T10:47:00Z</dcterms:modified>
</cp:coreProperties>
</file>