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F8" w:rsidRPr="009546DE" w:rsidRDefault="00234CF8" w:rsidP="00234CF8">
      <w:pPr>
        <w:pStyle w:val="GvdeMetni"/>
        <w:spacing w:before="100" w:line="276" w:lineRule="auto"/>
        <w:ind w:left="567" w:right="53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46DE">
        <w:rPr>
          <w:rFonts w:ascii="Times New Roman" w:hAnsi="Times New Roman" w:cs="Times New Roman"/>
          <w:b/>
          <w:sz w:val="24"/>
          <w:szCs w:val="24"/>
        </w:rPr>
        <w:t>ETİK İŞ POLİTİKASI</w:t>
      </w:r>
    </w:p>
    <w:bookmarkEnd w:id="0"/>
    <w:p w:rsidR="00234CF8" w:rsidRPr="009546DE" w:rsidRDefault="00234CF8" w:rsidP="00234CF8">
      <w:pPr>
        <w:pStyle w:val="GvdeMetni"/>
        <w:spacing w:before="100" w:line="276" w:lineRule="auto"/>
        <w:ind w:right="531"/>
        <w:jc w:val="both"/>
        <w:rPr>
          <w:rFonts w:ascii="Times New Roman" w:hAnsi="Times New Roman" w:cs="Times New Roman"/>
          <w:sz w:val="24"/>
          <w:szCs w:val="24"/>
        </w:rPr>
      </w:pPr>
    </w:p>
    <w:p w:rsidR="00234CF8" w:rsidRPr="009546DE" w:rsidRDefault="00234CF8" w:rsidP="00222A30">
      <w:pPr>
        <w:pStyle w:val="GvdeMetni"/>
        <w:spacing w:before="19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D3670" w:rsidRPr="009546DE" w:rsidRDefault="00234CF8" w:rsidP="00222A30">
      <w:pPr>
        <w:pStyle w:val="GvdeMetni"/>
        <w:spacing w:before="19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6DE">
        <w:rPr>
          <w:rFonts w:ascii="Times New Roman" w:hAnsi="Times New Roman" w:cs="Times New Roman"/>
          <w:sz w:val="24"/>
          <w:szCs w:val="24"/>
        </w:rPr>
        <w:t>İstanbul Beykent</w:t>
      </w:r>
      <w:r w:rsidRPr="009546DE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FD3670" w:rsidRPr="009546DE">
        <w:rPr>
          <w:rFonts w:ascii="Times New Roman" w:hAnsi="Times New Roman" w:cs="Times New Roman"/>
          <w:sz w:val="24"/>
          <w:szCs w:val="24"/>
        </w:rPr>
        <w:t xml:space="preserve"> Etik İş Politikası </w:t>
      </w:r>
      <w:r w:rsidR="00FD3670" w:rsidRPr="009546DE">
        <w:rPr>
          <w:rFonts w:ascii="Times New Roman" w:hAnsi="Times New Roman" w:cs="Times New Roman"/>
          <w:sz w:val="24"/>
          <w:szCs w:val="24"/>
        </w:rPr>
        <w:t>insan hakları, çıkar çatışmasının engellenmesi</w:t>
      </w:r>
      <w:r w:rsidR="003A144B" w:rsidRPr="009546DE">
        <w:rPr>
          <w:rFonts w:ascii="Times New Roman" w:hAnsi="Times New Roman" w:cs="Times New Roman"/>
          <w:sz w:val="24"/>
          <w:szCs w:val="24"/>
        </w:rPr>
        <w:t xml:space="preserve">, </w:t>
      </w:r>
      <w:r w:rsidR="00FD3670" w:rsidRPr="009546DE">
        <w:rPr>
          <w:rFonts w:ascii="Times New Roman" w:hAnsi="Times New Roman" w:cs="Times New Roman"/>
          <w:sz w:val="24"/>
          <w:szCs w:val="24"/>
        </w:rPr>
        <w:t>gizlilik ve içsel bilgilerin korunması, iş sağlığı ve güvenliği gibi konular başta olmak</w:t>
      </w:r>
      <w:r w:rsidR="00FD3670" w:rsidRPr="009546DE">
        <w:rPr>
          <w:rFonts w:ascii="Times New Roman" w:hAnsi="Times New Roman" w:cs="Times New Roman"/>
          <w:sz w:val="24"/>
          <w:szCs w:val="24"/>
        </w:rPr>
        <w:t xml:space="preserve"> çalışanlar, iş ortakları ve paydaşlar</w:t>
      </w:r>
      <w:r w:rsidR="003A144B" w:rsidRPr="009546DE">
        <w:rPr>
          <w:rFonts w:ascii="Times New Roman" w:hAnsi="Times New Roman" w:cs="Times New Roman"/>
          <w:sz w:val="24"/>
          <w:szCs w:val="24"/>
        </w:rPr>
        <w:t>ın sorumluluk bilinciyle karar almalarını desteklemek üzere bir çerçeve çizmeyi amaçlamaktadır.</w:t>
      </w:r>
    </w:p>
    <w:p w:rsidR="00FD3670" w:rsidRPr="009546DE" w:rsidRDefault="00FD3670" w:rsidP="003A144B">
      <w:pPr>
        <w:pStyle w:val="GvdeMetni"/>
        <w:spacing w:before="100" w:line="276" w:lineRule="auto"/>
        <w:ind w:right="5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CF8" w:rsidRPr="009546DE" w:rsidRDefault="00234CF8" w:rsidP="00234CF8">
      <w:pPr>
        <w:pStyle w:val="GvdeMetni"/>
        <w:spacing w:before="100" w:line="276" w:lineRule="auto"/>
        <w:ind w:left="567" w:right="5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DE">
        <w:rPr>
          <w:rFonts w:ascii="Times New Roman" w:hAnsi="Times New Roman" w:cs="Times New Roman"/>
          <w:b/>
          <w:sz w:val="24"/>
          <w:szCs w:val="24"/>
        </w:rPr>
        <w:t>Temel Değerler</w:t>
      </w:r>
    </w:p>
    <w:p w:rsidR="00234CF8" w:rsidRPr="009546DE" w:rsidRDefault="00234CF8" w:rsidP="00234CF8">
      <w:pPr>
        <w:pStyle w:val="GvdeMetni"/>
        <w:spacing w:before="195"/>
        <w:ind w:left="567"/>
        <w:rPr>
          <w:rFonts w:ascii="Times New Roman" w:hAnsi="Times New Roman" w:cs="Times New Roman"/>
          <w:sz w:val="24"/>
          <w:szCs w:val="24"/>
        </w:rPr>
      </w:pPr>
      <w:r w:rsidRPr="009546DE">
        <w:rPr>
          <w:rFonts w:ascii="Times New Roman" w:hAnsi="Times New Roman" w:cs="Times New Roman"/>
          <w:sz w:val="24"/>
          <w:szCs w:val="24"/>
        </w:rPr>
        <w:t>Üniversitenin etik iş politikasının dayandığı temel değerler şunlardır:</w:t>
      </w:r>
    </w:p>
    <w:p w:rsidR="00234CF8" w:rsidRPr="009546DE" w:rsidRDefault="00234CF8" w:rsidP="00234CF8">
      <w:pPr>
        <w:pStyle w:val="GvdeMetni"/>
        <w:spacing w:before="195"/>
        <w:ind w:left="567"/>
        <w:rPr>
          <w:rFonts w:ascii="Times New Roman" w:hAnsi="Times New Roman" w:cs="Times New Roman"/>
          <w:sz w:val="24"/>
          <w:szCs w:val="24"/>
        </w:rPr>
      </w:pPr>
    </w:p>
    <w:p w:rsidR="00234CF8" w:rsidRPr="009546DE" w:rsidRDefault="00234CF8" w:rsidP="00234CF8">
      <w:pPr>
        <w:pStyle w:val="ListeParagraf"/>
        <w:numPr>
          <w:ilvl w:val="0"/>
          <w:numId w:val="1"/>
        </w:numPr>
        <w:spacing w:line="276" w:lineRule="auto"/>
        <w:ind w:right="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DE">
        <w:rPr>
          <w:rFonts w:ascii="Times New Roman" w:hAnsi="Times New Roman" w:cs="Times New Roman"/>
          <w:b/>
          <w:sz w:val="24"/>
          <w:szCs w:val="24"/>
        </w:rPr>
        <w:t xml:space="preserve">Dürüstlük: </w:t>
      </w:r>
      <w:r w:rsidRPr="009546DE">
        <w:rPr>
          <w:rFonts w:ascii="Times New Roman" w:hAnsi="Times New Roman" w:cs="Times New Roman"/>
          <w:sz w:val="24"/>
          <w:szCs w:val="24"/>
        </w:rPr>
        <w:t xml:space="preserve">Tüm iş süreçlerinde ve ilişkilerinde doğruluk ve dürüstlük </w:t>
      </w:r>
      <w:r w:rsidR="00AF3368" w:rsidRPr="009546DE">
        <w:rPr>
          <w:rFonts w:ascii="Times New Roman" w:hAnsi="Times New Roman" w:cs="Times New Roman"/>
          <w:sz w:val="24"/>
          <w:szCs w:val="24"/>
        </w:rPr>
        <w:t>temelli</w:t>
      </w:r>
      <w:r w:rsidR="009546DE">
        <w:rPr>
          <w:rFonts w:ascii="Times New Roman" w:hAnsi="Times New Roman" w:cs="Times New Roman"/>
          <w:sz w:val="24"/>
          <w:szCs w:val="24"/>
        </w:rPr>
        <w:t xml:space="preserve"> hareket edilmesini temsil etmektedir.</w:t>
      </w:r>
    </w:p>
    <w:p w:rsidR="00AF3368" w:rsidRPr="009546DE" w:rsidRDefault="0075445D" w:rsidP="00AF3368">
      <w:pPr>
        <w:pStyle w:val="ListeParagraf"/>
        <w:numPr>
          <w:ilvl w:val="0"/>
          <w:numId w:val="1"/>
        </w:numPr>
        <w:spacing w:line="276" w:lineRule="auto"/>
        <w:ind w:right="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DE">
        <w:rPr>
          <w:rFonts w:ascii="Times New Roman" w:hAnsi="Times New Roman" w:cs="Times New Roman"/>
          <w:b/>
          <w:sz w:val="24"/>
          <w:szCs w:val="24"/>
        </w:rPr>
        <w:t xml:space="preserve">Tarafsızlık: </w:t>
      </w:r>
      <w:r w:rsidR="00D67620" w:rsidRPr="009546DE">
        <w:rPr>
          <w:rFonts w:ascii="Times New Roman" w:hAnsi="Times New Roman" w:cs="Times New Roman"/>
          <w:sz w:val="24"/>
          <w:szCs w:val="24"/>
        </w:rPr>
        <w:t>Tüm iş süreçlerinde ve ilişkilerinde</w:t>
      </w:r>
      <w:r w:rsidR="00D67620" w:rsidRPr="009546DE">
        <w:rPr>
          <w:rFonts w:ascii="Times New Roman" w:hAnsi="Times New Roman" w:cs="Times New Roman"/>
          <w:sz w:val="24"/>
          <w:szCs w:val="24"/>
        </w:rPr>
        <w:t xml:space="preserve"> </w:t>
      </w:r>
      <w:r w:rsidR="00F60A6D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>dil, ırk, renk, cinsiyet, siyasi düşünce, felsefi inanç, din, mezhep ve benzeri</w:t>
      </w:r>
      <w:r w:rsidR="00D67620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konularda tarafsızlık ilkesinin uygulanmasını temsil </w:t>
      </w:r>
      <w:r w:rsidR="009546DE">
        <w:rPr>
          <w:rFonts w:ascii="Times New Roman" w:hAnsi="Times New Roman" w:cs="Times New Roman"/>
          <w:sz w:val="24"/>
          <w:szCs w:val="24"/>
        </w:rPr>
        <w:t>etmektedir.</w:t>
      </w:r>
    </w:p>
    <w:p w:rsidR="00234CF8" w:rsidRPr="009546DE" w:rsidRDefault="00D67620" w:rsidP="00234CF8">
      <w:pPr>
        <w:pStyle w:val="ListeParagraf"/>
        <w:numPr>
          <w:ilvl w:val="0"/>
          <w:numId w:val="1"/>
        </w:numPr>
        <w:spacing w:line="276" w:lineRule="auto"/>
        <w:ind w:right="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DE">
        <w:rPr>
          <w:rFonts w:ascii="Times New Roman" w:hAnsi="Times New Roman" w:cs="Times New Roman"/>
          <w:b/>
          <w:sz w:val="24"/>
          <w:szCs w:val="24"/>
        </w:rPr>
        <w:t xml:space="preserve">Adillik: </w:t>
      </w:r>
      <w:r w:rsidR="00234CF8" w:rsidRPr="009546DE">
        <w:rPr>
          <w:rFonts w:ascii="Times New Roman" w:hAnsi="Times New Roman" w:cs="Times New Roman"/>
          <w:sz w:val="24"/>
          <w:szCs w:val="24"/>
        </w:rPr>
        <w:t xml:space="preserve"> Adil bir çalışma ortamının kurulması</w:t>
      </w:r>
      <w:r w:rsidRPr="009546DE">
        <w:rPr>
          <w:rFonts w:ascii="Times New Roman" w:hAnsi="Times New Roman" w:cs="Times New Roman"/>
          <w:sz w:val="24"/>
          <w:szCs w:val="24"/>
        </w:rPr>
        <w:t>, t</w:t>
      </w:r>
      <w:r w:rsidR="00234CF8" w:rsidRPr="009546DE">
        <w:rPr>
          <w:rFonts w:ascii="Times New Roman" w:hAnsi="Times New Roman" w:cs="Times New Roman"/>
          <w:sz w:val="24"/>
          <w:szCs w:val="24"/>
        </w:rPr>
        <w:t xml:space="preserve">üm paydaşlar ile karşılıklı adil ilişkiler </w:t>
      </w:r>
      <w:r w:rsidRPr="009546DE">
        <w:rPr>
          <w:rFonts w:ascii="Times New Roman" w:hAnsi="Times New Roman" w:cs="Times New Roman"/>
          <w:sz w:val="24"/>
          <w:szCs w:val="24"/>
        </w:rPr>
        <w:t xml:space="preserve">geliştirilmesi </w:t>
      </w:r>
      <w:r w:rsidR="00234CF8" w:rsidRPr="009546DE">
        <w:rPr>
          <w:rFonts w:ascii="Times New Roman" w:hAnsi="Times New Roman" w:cs="Times New Roman"/>
          <w:sz w:val="24"/>
          <w:szCs w:val="24"/>
        </w:rPr>
        <w:t>ve</w:t>
      </w:r>
      <w:r w:rsidRPr="009546DE">
        <w:rPr>
          <w:rFonts w:ascii="Times New Roman" w:hAnsi="Times New Roman" w:cs="Times New Roman"/>
          <w:sz w:val="24"/>
          <w:szCs w:val="24"/>
        </w:rPr>
        <w:t xml:space="preserve"> bu doğrultuda hareket edilmesini temsil </w:t>
      </w:r>
      <w:r w:rsidR="009546DE">
        <w:rPr>
          <w:rFonts w:ascii="Times New Roman" w:hAnsi="Times New Roman" w:cs="Times New Roman"/>
          <w:sz w:val="24"/>
          <w:szCs w:val="24"/>
        </w:rPr>
        <w:t>etmektedir.</w:t>
      </w:r>
    </w:p>
    <w:p w:rsidR="009546DE" w:rsidRPr="009546DE" w:rsidRDefault="009546DE" w:rsidP="009546DE">
      <w:pPr>
        <w:pStyle w:val="ListeParagraf"/>
        <w:numPr>
          <w:ilvl w:val="0"/>
          <w:numId w:val="1"/>
        </w:numPr>
        <w:spacing w:line="276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 w:rsidRPr="009546DE">
        <w:rPr>
          <w:rFonts w:ascii="Times New Roman" w:hAnsi="Times New Roman" w:cs="Times New Roman"/>
          <w:b/>
          <w:sz w:val="24"/>
          <w:szCs w:val="24"/>
        </w:rPr>
        <w:t xml:space="preserve">Gizlilik: </w:t>
      </w:r>
      <w:r w:rsidRPr="009546DE">
        <w:rPr>
          <w:rFonts w:ascii="Times New Roman" w:hAnsi="Times New Roman" w:cs="Times New Roman"/>
          <w:sz w:val="24"/>
          <w:szCs w:val="24"/>
        </w:rPr>
        <w:t>Üniversite akademik ve idari bilgilerin, patentlerin, çalışmaların, çalışan hak ve bilgilerinin, ticari sözleşmelerin gizlilik bilinci içerisinde korun</w:t>
      </w:r>
      <w:r>
        <w:rPr>
          <w:rFonts w:ascii="Times New Roman" w:hAnsi="Times New Roman" w:cs="Times New Roman"/>
          <w:sz w:val="24"/>
          <w:szCs w:val="24"/>
        </w:rPr>
        <w:t>ması ve gizliliğinin sağlanmasını temsil etmektedir.</w:t>
      </w:r>
    </w:p>
    <w:p w:rsidR="00D67620" w:rsidRPr="009546DE" w:rsidRDefault="00D67620" w:rsidP="00234CF8">
      <w:pPr>
        <w:pStyle w:val="ListeParagraf"/>
        <w:numPr>
          <w:ilvl w:val="0"/>
          <w:numId w:val="1"/>
        </w:numPr>
        <w:spacing w:line="276" w:lineRule="auto"/>
        <w:ind w:right="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DE">
        <w:rPr>
          <w:rFonts w:ascii="Times New Roman" w:hAnsi="Times New Roman" w:cs="Times New Roman"/>
          <w:b/>
          <w:sz w:val="24"/>
          <w:szCs w:val="24"/>
        </w:rPr>
        <w:t xml:space="preserve">Şeffaflık: </w:t>
      </w:r>
      <w:r w:rsidR="009546DE" w:rsidRPr="009546DE">
        <w:rPr>
          <w:rFonts w:ascii="Times New Roman" w:hAnsi="Times New Roman" w:cs="Times New Roman"/>
          <w:sz w:val="24"/>
          <w:szCs w:val="24"/>
        </w:rPr>
        <w:t xml:space="preserve">Tüm iş süreçlerinde ve ilişkilerinde </w:t>
      </w:r>
      <w:r w:rsidR="009546DE" w:rsidRPr="009546DE">
        <w:rPr>
          <w:rFonts w:ascii="Times New Roman" w:hAnsi="Times New Roman" w:cs="Times New Roman"/>
          <w:sz w:val="24"/>
          <w:szCs w:val="24"/>
        </w:rPr>
        <w:t xml:space="preserve">Üniversite ve paydaşlarla ilgili olarak 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ticari sırlar 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kişisel veriler 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dışında kalan tüm finansal ve finansal olmayan bilgilerin zamanında, doğru, anlaşılabilir, kapsamlı ve kolayca analiz edilebilir bir </w:t>
      </w:r>
      <w:r w:rsidR="009546DE" w:rsidRPr="009546DE">
        <w:rPr>
          <w:rFonts w:ascii="Times New Roman" w:hAnsi="Times New Roman" w:cs="Times New Roman"/>
          <w:sz w:val="24"/>
          <w:szCs w:val="24"/>
        </w:rPr>
        <w:t>biçimde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sunulmasını 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temsil </w:t>
      </w:r>
      <w:r w:rsidR="009546DE">
        <w:rPr>
          <w:rFonts w:ascii="Times New Roman" w:hAnsi="Times New Roman" w:cs="Times New Roman"/>
          <w:sz w:val="24"/>
          <w:szCs w:val="24"/>
        </w:rPr>
        <w:t>etmektedir.</w:t>
      </w:r>
    </w:p>
    <w:p w:rsidR="00D67620" w:rsidRPr="009546DE" w:rsidRDefault="00D67620" w:rsidP="00234CF8">
      <w:pPr>
        <w:pStyle w:val="ListeParagraf"/>
        <w:numPr>
          <w:ilvl w:val="0"/>
          <w:numId w:val="1"/>
        </w:numPr>
        <w:spacing w:line="276" w:lineRule="auto"/>
        <w:ind w:right="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DE">
        <w:rPr>
          <w:rFonts w:ascii="Times New Roman" w:hAnsi="Times New Roman" w:cs="Times New Roman"/>
          <w:b/>
          <w:sz w:val="24"/>
          <w:szCs w:val="24"/>
        </w:rPr>
        <w:t xml:space="preserve">Hesap Verebilirlik: 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>Üniversitenin kendi dışında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sorumlu olduğu 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>kişi ve kurumlara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karşı sorumluluklarının sonucunun yazı</w:t>
      </w:r>
      <w:r w:rsidR="009546DE" w:rsidRPr="00954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lı ve sözlü olarak açıklamasını temsil </w:t>
      </w:r>
      <w:r w:rsidR="009546DE">
        <w:rPr>
          <w:rFonts w:ascii="Times New Roman" w:hAnsi="Times New Roman" w:cs="Times New Roman"/>
          <w:sz w:val="24"/>
          <w:szCs w:val="24"/>
        </w:rPr>
        <w:t>etmektedir.</w:t>
      </w:r>
    </w:p>
    <w:p w:rsidR="00234CF8" w:rsidRPr="009546DE" w:rsidRDefault="00234CF8" w:rsidP="00234CF8">
      <w:pPr>
        <w:pStyle w:val="ListeParagraf"/>
        <w:spacing w:line="273" w:lineRule="auto"/>
        <w:ind w:left="1418" w:right="5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CF8" w:rsidRPr="009546DE" w:rsidRDefault="00234CF8" w:rsidP="00234CF8">
      <w:pPr>
        <w:pStyle w:val="GvdeMetni"/>
        <w:spacing w:before="165" w:line="276" w:lineRule="auto"/>
        <w:ind w:left="567" w:right="5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DE">
        <w:rPr>
          <w:rFonts w:ascii="Times New Roman" w:hAnsi="Times New Roman" w:cs="Times New Roman"/>
          <w:b/>
          <w:bCs/>
          <w:sz w:val="24"/>
          <w:szCs w:val="24"/>
        </w:rPr>
        <w:t xml:space="preserve">Etik İş Politikasının Stratejileri: </w:t>
      </w:r>
    </w:p>
    <w:p w:rsidR="00234CF8" w:rsidRPr="009546DE" w:rsidRDefault="00234CF8" w:rsidP="00234CF8">
      <w:pPr>
        <w:pStyle w:val="Balk1"/>
        <w:spacing w:before="165" w:line="276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46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Bu değerler etrafında şekillenen Etik İş Politikasının temel taşları şunlardır: </w:t>
      </w:r>
    </w:p>
    <w:p w:rsidR="009546DE" w:rsidRDefault="00234CF8" w:rsidP="00FE5F96">
      <w:pPr>
        <w:pStyle w:val="Balk1"/>
        <w:spacing w:before="165" w:line="276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46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9546DE">
        <w:rPr>
          <w:rFonts w:ascii="Times New Roman" w:hAnsi="Times New Roman" w:cs="Times New Roman"/>
          <w:b w:val="0"/>
          <w:bCs w:val="0"/>
          <w:sz w:val="24"/>
          <w:szCs w:val="24"/>
        </w:rPr>
        <w:t>Çalışma hayatında karşılıklı saygı, hoşgörü</w:t>
      </w:r>
      <w:r w:rsidR="00C5168A">
        <w:rPr>
          <w:rFonts w:ascii="Times New Roman" w:hAnsi="Times New Roman" w:cs="Times New Roman"/>
          <w:b w:val="0"/>
          <w:bCs w:val="0"/>
          <w:sz w:val="24"/>
          <w:szCs w:val="24"/>
        </w:rPr>
        <w:t>, dayanışma</w:t>
      </w:r>
      <w:r w:rsidRPr="009546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güven </w:t>
      </w:r>
      <w:r w:rsidR="009546DE">
        <w:rPr>
          <w:rFonts w:ascii="Times New Roman" w:hAnsi="Times New Roman" w:cs="Times New Roman"/>
          <w:b w:val="0"/>
          <w:bCs w:val="0"/>
          <w:sz w:val="24"/>
          <w:szCs w:val="24"/>
        </w:rPr>
        <w:t>ortamının tesis edilmesi,</w:t>
      </w:r>
      <w:r w:rsidR="00FE5F96" w:rsidRPr="00FE5F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E5F96" w:rsidRPr="009546DE">
        <w:rPr>
          <w:rFonts w:ascii="Times New Roman" w:hAnsi="Times New Roman" w:cs="Times New Roman"/>
          <w:b w:val="0"/>
          <w:bCs w:val="0"/>
          <w:sz w:val="24"/>
          <w:szCs w:val="24"/>
        </w:rPr>
        <w:t>adil ve ayrımcılık karşıtı</w:t>
      </w:r>
      <w:r w:rsidR="00FE5F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bir yapı oluşturulması,</w:t>
      </w:r>
    </w:p>
    <w:p w:rsidR="009546DE" w:rsidRDefault="009546DE" w:rsidP="009546DE">
      <w:pPr>
        <w:pStyle w:val="Balk1"/>
        <w:spacing w:before="165" w:line="276" w:lineRule="auto"/>
        <w:ind w:left="567"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Çalışanların ve paydaşların bağlılığının desteklenmesi,</w:t>
      </w:r>
    </w:p>
    <w:p w:rsidR="009546DE" w:rsidRDefault="009546DE" w:rsidP="00234CF8">
      <w:pPr>
        <w:pStyle w:val="Balk1"/>
        <w:spacing w:before="165" w:line="276" w:lineRule="auto"/>
        <w:ind w:left="567" w:right="534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Ş</w:t>
      </w:r>
      <w:r w:rsidR="00234CF8" w:rsidRPr="009546DE">
        <w:rPr>
          <w:rFonts w:ascii="Times New Roman" w:hAnsi="Times New Roman" w:cs="Times New Roman"/>
          <w:b w:val="0"/>
          <w:bCs w:val="0"/>
          <w:sz w:val="24"/>
          <w:szCs w:val="24"/>
        </w:rPr>
        <w:t>effaf ve düzenli bilgi paylaşımı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nın sağlanması,</w:t>
      </w:r>
    </w:p>
    <w:p w:rsidR="00234CF8" w:rsidRPr="009546DE" w:rsidRDefault="00234CF8" w:rsidP="00234CF8">
      <w:pPr>
        <w:pStyle w:val="Balk1"/>
        <w:spacing w:before="165" w:line="276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46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C5168A">
        <w:rPr>
          <w:rFonts w:ascii="Times New Roman" w:hAnsi="Times New Roman" w:cs="Times New Roman"/>
          <w:b w:val="0"/>
          <w:bCs w:val="0"/>
          <w:sz w:val="24"/>
          <w:szCs w:val="24"/>
        </w:rPr>
        <w:t>Bilgi güvenliğini tesis etmek üzere iç denetim mekanizmalarının geliştirilmesi,</w:t>
      </w:r>
      <w:r w:rsidRPr="009546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34CF8" w:rsidRPr="009546DE" w:rsidRDefault="00234CF8" w:rsidP="00234CF8">
      <w:pPr>
        <w:pStyle w:val="Balk1"/>
        <w:spacing w:before="165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6DE">
        <w:rPr>
          <w:rFonts w:ascii="Times New Roman" w:hAnsi="Times New Roman" w:cs="Times New Roman"/>
          <w:sz w:val="24"/>
          <w:szCs w:val="24"/>
        </w:rPr>
        <w:lastRenderedPageBreak/>
        <w:t xml:space="preserve">Etik İş Politikasının Hedefleri: </w:t>
      </w:r>
    </w:p>
    <w:p w:rsidR="00234CF8" w:rsidRPr="009546DE" w:rsidRDefault="00234CF8" w:rsidP="00234CF8">
      <w:pPr>
        <w:pStyle w:val="Balk1"/>
        <w:spacing w:before="165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CF8" w:rsidRDefault="00C5168A" w:rsidP="00234CF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verebilirliği sağlamak,</w:t>
      </w:r>
    </w:p>
    <w:p w:rsidR="00C5168A" w:rsidRPr="009546DE" w:rsidRDefault="00C5168A" w:rsidP="00C5168A">
      <w:pPr>
        <w:pStyle w:val="ListeParagraf"/>
        <w:ind w:left="1253" w:firstLine="0"/>
        <w:rPr>
          <w:rFonts w:ascii="Times New Roman" w:hAnsi="Times New Roman" w:cs="Times New Roman"/>
          <w:sz w:val="24"/>
          <w:szCs w:val="24"/>
        </w:rPr>
      </w:pPr>
    </w:p>
    <w:p w:rsidR="00234CF8" w:rsidRDefault="00C5168A" w:rsidP="00234CF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Farklılıklarla gelişen bir kurum kültürü inşa etmek,</w:t>
      </w:r>
    </w:p>
    <w:p w:rsidR="00C5168A" w:rsidRPr="00C5168A" w:rsidRDefault="00C5168A" w:rsidP="00C5168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34CF8" w:rsidRDefault="00234CF8" w:rsidP="00C5168A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168A">
        <w:rPr>
          <w:rFonts w:ascii="Times New Roman" w:hAnsi="Times New Roman" w:cs="Times New Roman"/>
          <w:sz w:val="24"/>
          <w:szCs w:val="24"/>
        </w:rPr>
        <w:t xml:space="preserve">Eşit iş eşit ücret ilkesini </w:t>
      </w:r>
      <w:r w:rsidR="00C5168A">
        <w:rPr>
          <w:rFonts w:ascii="Times New Roman" w:hAnsi="Times New Roman" w:cs="Times New Roman"/>
          <w:sz w:val="24"/>
          <w:szCs w:val="24"/>
        </w:rPr>
        <w:t>uygulamak,</w:t>
      </w:r>
    </w:p>
    <w:p w:rsidR="00C5168A" w:rsidRPr="00C5168A" w:rsidRDefault="00C5168A" w:rsidP="00C5168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5168A" w:rsidRDefault="00C5168A" w:rsidP="00C5168A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süreçlerinde adil uygulamalar yürütmek, </w:t>
      </w:r>
    </w:p>
    <w:p w:rsidR="00C5168A" w:rsidRPr="00C5168A" w:rsidRDefault="00C5168A" w:rsidP="00C5168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34CF8" w:rsidRPr="00C5168A" w:rsidRDefault="00234CF8" w:rsidP="00C5168A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168A">
        <w:rPr>
          <w:rFonts w:ascii="Times New Roman" w:hAnsi="Times New Roman" w:cs="Times New Roman"/>
          <w:sz w:val="24"/>
          <w:szCs w:val="24"/>
        </w:rPr>
        <w:t>Kişisel bilgilerin ve hakların korunmasını sağlamak</w:t>
      </w:r>
      <w:r w:rsidR="00C5168A">
        <w:rPr>
          <w:rFonts w:ascii="Times New Roman" w:hAnsi="Times New Roman" w:cs="Times New Roman"/>
          <w:sz w:val="24"/>
          <w:szCs w:val="24"/>
        </w:rPr>
        <w:t>.</w:t>
      </w:r>
    </w:p>
    <w:p w:rsidR="00234CF8" w:rsidRPr="009546DE" w:rsidRDefault="00234CF8" w:rsidP="00234CF8">
      <w:pPr>
        <w:pStyle w:val="GvdeMetni"/>
        <w:ind w:left="567"/>
        <w:rPr>
          <w:rFonts w:ascii="Times New Roman" w:hAnsi="Times New Roman" w:cs="Times New Roman"/>
          <w:sz w:val="24"/>
          <w:szCs w:val="24"/>
        </w:rPr>
      </w:pPr>
    </w:p>
    <w:p w:rsidR="00234CF8" w:rsidRPr="009546DE" w:rsidRDefault="00234CF8" w:rsidP="00234CF8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546DE">
        <w:rPr>
          <w:rFonts w:ascii="Times New Roman" w:hAnsi="Times New Roman" w:cs="Times New Roman"/>
          <w:sz w:val="24"/>
          <w:szCs w:val="24"/>
        </w:rPr>
        <w:t>Bu hedeflerin gerçekleşme derecesini izlemek için göstergeler oluşturulur. Gerçekleşme yüzdeleri tespit edilir, düzeltici ve iyileştirici önlemler alınır.</w:t>
      </w:r>
    </w:p>
    <w:p w:rsidR="00550042" w:rsidRPr="009546DE" w:rsidRDefault="00550042">
      <w:pPr>
        <w:rPr>
          <w:rFonts w:ascii="Times New Roman" w:hAnsi="Times New Roman" w:cs="Times New Roman"/>
          <w:sz w:val="24"/>
          <w:szCs w:val="24"/>
        </w:rPr>
      </w:pPr>
    </w:p>
    <w:sectPr w:rsidR="00550042" w:rsidRPr="0095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E17"/>
    <w:multiLevelType w:val="hybridMultilevel"/>
    <w:tmpl w:val="0492936E"/>
    <w:lvl w:ilvl="0" w:tplc="48C62774">
      <w:start w:val="1"/>
      <w:numFmt w:val="decimal"/>
      <w:lvlText w:val="%1."/>
      <w:lvlJc w:val="left"/>
      <w:pPr>
        <w:ind w:left="1526" w:hanging="428"/>
      </w:pPr>
      <w:rPr>
        <w:rFonts w:ascii="Times New Roman" w:eastAsia="Tahoma" w:hAnsi="Times New Roman" w:cs="Times New Roman" w:hint="default"/>
        <w:b w:val="0"/>
        <w:spacing w:val="-1"/>
        <w:w w:val="99"/>
        <w:sz w:val="24"/>
        <w:szCs w:val="24"/>
        <w:lang w:val="tr-TR" w:eastAsia="en-US" w:bidi="ar-SA"/>
      </w:rPr>
    </w:lvl>
    <w:lvl w:ilvl="1" w:tplc="3D763856">
      <w:numFmt w:val="bullet"/>
      <w:lvlText w:val="•"/>
      <w:lvlJc w:val="left"/>
      <w:pPr>
        <w:ind w:left="2438" w:hanging="428"/>
      </w:pPr>
      <w:rPr>
        <w:rFonts w:hint="default"/>
        <w:lang w:val="tr-TR" w:eastAsia="en-US" w:bidi="ar-SA"/>
      </w:rPr>
    </w:lvl>
    <w:lvl w:ilvl="2" w:tplc="8416CBE6">
      <w:numFmt w:val="bullet"/>
      <w:lvlText w:val="•"/>
      <w:lvlJc w:val="left"/>
      <w:pPr>
        <w:ind w:left="3357" w:hanging="428"/>
      </w:pPr>
      <w:rPr>
        <w:rFonts w:hint="default"/>
        <w:lang w:val="tr-TR" w:eastAsia="en-US" w:bidi="ar-SA"/>
      </w:rPr>
    </w:lvl>
    <w:lvl w:ilvl="3" w:tplc="EAD69040">
      <w:numFmt w:val="bullet"/>
      <w:lvlText w:val="•"/>
      <w:lvlJc w:val="left"/>
      <w:pPr>
        <w:ind w:left="4275" w:hanging="428"/>
      </w:pPr>
      <w:rPr>
        <w:rFonts w:hint="default"/>
        <w:lang w:val="tr-TR" w:eastAsia="en-US" w:bidi="ar-SA"/>
      </w:rPr>
    </w:lvl>
    <w:lvl w:ilvl="4" w:tplc="5ED6B844">
      <w:numFmt w:val="bullet"/>
      <w:lvlText w:val="•"/>
      <w:lvlJc w:val="left"/>
      <w:pPr>
        <w:ind w:left="5194" w:hanging="428"/>
      </w:pPr>
      <w:rPr>
        <w:rFonts w:hint="default"/>
        <w:lang w:val="tr-TR" w:eastAsia="en-US" w:bidi="ar-SA"/>
      </w:rPr>
    </w:lvl>
    <w:lvl w:ilvl="5" w:tplc="BD10BD10">
      <w:numFmt w:val="bullet"/>
      <w:lvlText w:val="•"/>
      <w:lvlJc w:val="left"/>
      <w:pPr>
        <w:ind w:left="6113" w:hanging="428"/>
      </w:pPr>
      <w:rPr>
        <w:rFonts w:hint="default"/>
        <w:lang w:val="tr-TR" w:eastAsia="en-US" w:bidi="ar-SA"/>
      </w:rPr>
    </w:lvl>
    <w:lvl w:ilvl="6" w:tplc="8618EB40">
      <w:numFmt w:val="bullet"/>
      <w:lvlText w:val="•"/>
      <w:lvlJc w:val="left"/>
      <w:pPr>
        <w:ind w:left="7031" w:hanging="428"/>
      </w:pPr>
      <w:rPr>
        <w:rFonts w:hint="default"/>
        <w:lang w:val="tr-TR" w:eastAsia="en-US" w:bidi="ar-SA"/>
      </w:rPr>
    </w:lvl>
    <w:lvl w:ilvl="7" w:tplc="AAE8050A">
      <w:numFmt w:val="bullet"/>
      <w:lvlText w:val="•"/>
      <w:lvlJc w:val="left"/>
      <w:pPr>
        <w:ind w:left="7950" w:hanging="428"/>
      </w:pPr>
      <w:rPr>
        <w:rFonts w:hint="default"/>
        <w:lang w:val="tr-TR" w:eastAsia="en-US" w:bidi="ar-SA"/>
      </w:rPr>
    </w:lvl>
    <w:lvl w:ilvl="8" w:tplc="C6729382">
      <w:numFmt w:val="bullet"/>
      <w:lvlText w:val="•"/>
      <w:lvlJc w:val="left"/>
      <w:pPr>
        <w:ind w:left="8869" w:hanging="428"/>
      </w:pPr>
      <w:rPr>
        <w:rFonts w:hint="default"/>
        <w:lang w:val="tr-TR" w:eastAsia="en-US" w:bidi="ar-SA"/>
      </w:rPr>
    </w:lvl>
  </w:abstractNum>
  <w:abstractNum w:abstractNumId="1" w15:restartNumberingAfterBreak="0">
    <w:nsid w:val="3BC11E9C"/>
    <w:multiLevelType w:val="hybridMultilevel"/>
    <w:tmpl w:val="73D63E9C"/>
    <w:lvl w:ilvl="0" w:tplc="451A76FA">
      <w:start w:val="1"/>
      <w:numFmt w:val="decimal"/>
      <w:lvlText w:val="%1."/>
      <w:lvlJc w:val="left"/>
      <w:pPr>
        <w:ind w:left="1253" w:hanging="360"/>
      </w:pPr>
      <w:rPr>
        <w:rFonts w:ascii="Times New Roman" w:eastAsia="Tahoma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0BC2220">
      <w:numFmt w:val="bullet"/>
      <w:lvlText w:val="•"/>
      <w:lvlJc w:val="left"/>
      <w:pPr>
        <w:ind w:left="2204" w:hanging="360"/>
      </w:pPr>
      <w:rPr>
        <w:rFonts w:hint="default"/>
        <w:lang w:val="tr-TR" w:eastAsia="en-US" w:bidi="ar-SA"/>
      </w:rPr>
    </w:lvl>
    <w:lvl w:ilvl="2" w:tplc="A3C67704">
      <w:numFmt w:val="bullet"/>
      <w:lvlText w:val="•"/>
      <w:lvlJc w:val="left"/>
      <w:pPr>
        <w:ind w:left="3149" w:hanging="360"/>
      </w:pPr>
      <w:rPr>
        <w:rFonts w:hint="default"/>
        <w:lang w:val="tr-TR" w:eastAsia="en-US" w:bidi="ar-SA"/>
      </w:rPr>
    </w:lvl>
    <w:lvl w:ilvl="3" w:tplc="308483EE">
      <w:numFmt w:val="bullet"/>
      <w:lvlText w:val="•"/>
      <w:lvlJc w:val="left"/>
      <w:pPr>
        <w:ind w:left="4093" w:hanging="360"/>
      </w:pPr>
      <w:rPr>
        <w:rFonts w:hint="default"/>
        <w:lang w:val="tr-TR" w:eastAsia="en-US" w:bidi="ar-SA"/>
      </w:rPr>
    </w:lvl>
    <w:lvl w:ilvl="4" w:tplc="E1C4C086">
      <w:numFmt w:val="bullet"/>
      <w:lvlText w:val="•"/>
      <w:lvlJc w:val="left"/>
      <w:pPr>
        <w:ind w:left="5038" w:hanging="360"/>
      </w:pPr>
      <w:rPr>
        <w:rFonts w:hint="default"/>
        <w:lang w:val="tr-TR" w:eastAsia="en-US" w:bidi="ar-SA"/>
      </w:rPr>
    </w:lvl>
    <w:lvl w:ilvl="5" w:tplc="83D6426C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784A4FA2">
      <w:numFmt w:val="bullet"/>
      <w:lvlText w:val="•"/>
      <w:lvlJc w:val="left"/>
      <w:pPr>
        <w:ind w:left="6927" w:hanging="360"/>
      </w:pPr>
      <w:rPr>
        <w:rFonts w:hint="default"/>
        <w:lang w:val="tr-TR" w:eastAsia="en-US" w:bidi="ar-SA"/>
      </w:rPr>
    </w:lvl>
    <w:lvl w:ilvl="7" w:tplc="4D762B9A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11DEE944">
      <w:numFmt w:val="bullet"/>
      <w:lvlText w:val="•"/>
      <w:lvlJc w:val="left"/>
      <w:pPr>
        <w:ind w:left="881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F8"/>
    <w:rsid w:val="001120FB"/>
    <w:rsid w:val="00222A30"/>
    <w:rsid w:val="00234CF8"/>
    <w:rsid w:val="003A144B"/>
    <w:rsid w:val="00550042"/>
    <w:rsid w:val="0075445D"/>
    <w:rsid w:val="009546DE"/>
    <w:rsid w:val="00AF3368"/>
    <w:rsid w:val="00C5168A"/>
    <w:rsid w:val="00D67620"/>
    <w:rsid w:val="00F60A6D"/>
    <w:rsid w:val="00FD3670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1E60"/>
  <w15:chartTrackingRefBased/>
  <w15:docId w15:val="{57E5FD1C-60E5-4E7C-AA0C-608CA2C8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34CF8"/>
    <w:pPr>
      <w:widowControl w:val="0"/>
      <w:autoSpaceDE w:val="0"/>
      <w:autoSpaceDN w:val="0"/>
      <w:spacing w:before="157" w:after="0" w:line="240" w:lineRule="auto"/>
      <w:ind w:left="566" w:hanging="360"/>
      <w:outlineLvl w:val="0"/>
    </w:pPr>
    <w:rPr>
      <w:rFonts w:ascii="Tahoma" w:eastAsia="Tahoma" w:hAnsi="Tahoma" w:cs="Tahoma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34CF8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34CF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4CF8"/>
    <w:rPr>
      <w:rFonts w:ascii="Tahoma" w:eastAsia="Tahoma" w:hAnsi="Tahoma" w:cs="Tahoma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234CF8"/>
    <w:pPr>
      <w:widowControl w:val="0"/>
      <w:autoSpaceDE w:val="0"/>
      <w:autoSpaceDN w:val="0"/>
      <w:spacing w:after="0" w:line="240" w:lineRule="auto"/>
      <w:ind w:left="1241" w:hanging="281"/>
    </w:pPr>
    <w:rPr>
      <w:rFonts w:ascii="Tahoma" w:eastAsia="Tahoma" w:hAnsi="Tahoma" w:cs="Tahoma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FD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1</cp:revision>
  <dcterms:created xsi:type="dcterms:W3CDTF">2023-10-31T09:38:00Z</dcterms:created>
  <dcterms:modified xsi:type="dcterms:W3CDTF">2023-10-31T12:50:00Z</dcterms:modified>
</cp:coreProperties>
</file>