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78" w:rsidRPr="00ED3778" w:rsidRDefault="00ED3778" w:rsidP="00ED3778">
      <w:pPr>
        <w:pStyle w:val="GvdeMetni"/>
        <w:spacing w:before="100" w:line="360" w:lineRule="auto"/>
        <w:ind w:left="567" w:right="5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78">
        <w:rPr>
          <w:rFonts w:ascii="Times New Roman" w:hAnsi="Times New Roman" w:cs="Times New Roman"/>
          <w:b/>
          <w:sz w:val="24"/>
          <w:szCs w:val="24"/>
        </w:rPr>
        <w:t>CİNSEL TA</w:t>
      </w:r>
      <w:r w:rsidR="000A6F22">
        <w:rPr>
          <w:rFonts w:ascii="Times New Roman" w:hAnsi="Times New Roman" w:cs="Times New Roman"/>
          <w:b/>
          <w:sz w:val="24"/>
          <w:szCs w:val="24"/>
        </w:rPr>
        <w:t>CİZ VE MOBBİNG KARŞITI POLİTİKA</w:t>
      </w:r>
    </w:p>
    <w:p w:rsidR="00ED3778" w:rsidRPr="00ED3778" w:rsidRDefault="00ED3778" w:rsidP="00ED3778">
      <w:pPr>
        <w:pStyle w:val="GvdeMetni"/>
        <w:spacing w:before="100" w:line="360" w:lineRule="auto"/>
        <w:ind w:left="567" w:right="5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778" w:rsidRPr="00ED3778" w:rsidRDefault="00ED3778" w:rsidP="00ED3778">
      <w:pPr>
        <w:pStyle w:val="GvdeMetni"/>
        <w:spacing w:before="100" w:line="360" w:lineRule="auto"/>
        <w:ind w:left="567" w:right="5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İstanbul Beykent Üniversitesi 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Karşıtı Politikası </w:t>
      </w:r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öğrencilerin, öğretim üyelerinin ve diğer personelin cinsel tacize ve </w:t>
      </w:r>
      <w:proofErr w:type="spellStart"/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>mobbinge</w:t>
      </w:r>
      <w:proofErr w:type="spellEnd"/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karşı korunmasını, cinsel taciz ve </w:t>
      </w:r>
      <w:proofErr w:type="spellStart"/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>mobbingin</w:t>
      </w:r>
      <w:proofErr w:type="spellEnd"/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önlenmesini, </w:t>
      </w:r>
      <w:proofErr w:type="gramStart"/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>şikayetlerin</w:t>
      </w:r>
      <w:proofErr w:type="gramEnd"/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ele alınması ve kurumsal olarak kınanması ve hukuksal süreçlerin işletilmesi için gerekli zemini hazırlamayı amaçlamaktadır.</w:t>
      </w:r>
    </w:p>
    <w:p w:rsidR="00ED3778" w:rsidRPr="00ED3778" w:rsidRDefault="00ED3778" w:rsidP="00ED3778">
      <w:pPr>
        <w:pStyle w:val="Balk1"/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>Temel Değerler</w:t>
      </w:r>
    </w:p>
    <w:p w:rsidR="00ED3778" w:rsidRPr="00ED3778" w:rsidRDefault="00ED3778" w:rsidP="00ED3778">
      <w:pPr>
        <w:pStyle w:val="GvdeMetni"/>
        <w:spacing w:before="195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Üniversitenin 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karşıtı politikasının dayandığı temel değerler şunlardır:</w:t>
      </w:r>
    </w:p>
    <w:p w:rsidR="00ED3778" w:rsidRPr="00ED3778" w:rsidRDefault="00ED3778" w:rsidP="00ED3778">
      <w:pPr>
        <w:pStyle w:val="GvdeMetni"/>
        <w:numPr>
          <w:ilvl w:val="0"/>
          <w:numId w:val="3"/>
        </w:numPr>
        <w:spacing w:before="195" w:line="360" w:lineRule="auto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b/>
          <w:sz w:val="24"/>
          <w:szCs w:val="24"/>
        </w:rPr>
        <w:t>İnsan Hakları:</w:t>
      </w:r>
      <w:r w:rsidRPr="00ED3778">
        <w:rPr>
          <w:rFonts w:ascii="Times New Roman" w:hAnsi="Times New Roman" w:cs="Times New Roman"/>
          <w:sz w:val="24"/>
          <w:szCs w:val="24"/>
        </w:rPr>
        <w:t xml:space="preserve"> </w:t>
      </w:r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Üniversitenin </w:t>
      </w:r>
      <w:r w:rsidRPr="00B4330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tüm </w:t>
      </w:r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>mensuplarının</w:t>
      </w:r>
      <w:r w:rsidRPr="00B4330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insan haklarına saygı göstermelerini ve bu hakları korumalarını </w:t>
      </w:r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>temsil etmektedir.</w:t>
      </w:r>
    </w:p>
    <w:p w:rsidR="00ED3778" w:rsidRPr="00ED3778" w:rsidRDefault="00ED3778" w:rsidP="00ED3778">
      <w:pPr>
        <w:pStyle w:val="GvdeMetni"/>
        <w:numPr>
          <w:ilvl w:val="0"/>
          <w:numId w:val="3"/>
        </w:numPr>
        <w:spacing w:before="195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04A59">
        <w:rPr>
          <w:rFonts w:ascii="Times New Roman" w:hAnsi="Times New Roman" w:cs="Times New Roman"/>
          <w:b/>
          <w:sz w:val="24"/>
          <w:szCs w:val="24"/>
        </w:rPr>
        <w:t>Eşitlik:</w:t>
      </w:r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Özellikle</w:t>
      </w:r>
      <w:r w:rsidRPr="00B4330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cinsiyet, cinsel yönelim veya diğer kişisel özelliklere dayalı ayrımcılığı </w:t>
      </w:r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>önlemek adına</w:t>
      </w:r>
      <w:r w:rsidRPr="00B4330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>Üniversitenin eşitlik ilkesini korumasını ve teşvik etmesini</w:t>
      </w:r>
      <w:r w:rsidRPr="00B4330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temsil etmektedir. </w:t>
      </w:r>
    </w:p>
    <w:p w:rsidR="00ED3778" w:rsidRPr="00ED3778" w:rsidRDefault="00ED3778" w:rsidP="00ED3778">
      <w:pPr>
        <w:pStyle w:val="GvdeMetni"/>
        <w:numPr>
          <w:ilvl w:val="0"/>
          <w:numId w:val="3"/>
        </w:numPr>
        <w:spacing w:before="195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04A59">
        <w:rPr>
          <w:rFonts w:ascii="Times New Roman" w:hAnsi="Times New Roman" w:cs="Times New Roman"/>
          <w:b/>
          <w:sz w:val="24"/>
          <w:szCs w:val="24"/>
        </w:rPr>
        <w:t>Güvenlik:</w:t>
      </w:r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Üniversitenin öğrencilere ve akademik ve idari personele güvende hissetmeleri için güvenli bir öğrenme ve çalışma ortamı sağlamakla yükümlü olduğunu temsil etmektedir.</w:t>
      </w:r>
    </w:p>
    <w:p w:rsidR="00ED3778" w:rsidRPr="00ED3778" w:rsidRDefault="00ED3778" w:rsidP="00ED3778">
      <w:pPr>
        <w:pStyle w:val="GvdeMetni"/>
        <w:numPr>
          <w:ilvl w:val="0"/>
          <w:numId w:val="3"/>
        </w:numPr>
        <w:spacing w:before="195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04A59">
        <w:rPr>
          <w:rFonts w:ascii="Times New Roman" w:hAnsi="Times New Roman" w:cs="Times New Roman"/>
          <w:b/>
          <w:sz w:val="24"/>
          <w:szCs w:val="24"/>
        </w:rPr>
        <w:t>Akademik ve Mesleki Etik:</w:t>
      </w:r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Üniversitenin akademik ve mesleki etik uygulamaları geliştirmesini temsil etmektedir. </w:t>
      </w:r>
    </w:p>
    <w:p w:rsidR="00ED3778" w:rsidRPr="00ED3778" w:rsidRDefault="00ED3778" w:rsidP="00ED3778">
      <w:pPr>
        <w:pStyle w:val="GvdeMetni"/>
        <w:numPr>
          <w:ilvl w:val="0"/>
          <w:numId w:val="3"/>
        </w:numPr>
        <w:spacing w:before="195" w:line="36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04A5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Toplumsal Sorumluluk:</w:t>
      </w:r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Üniversitenin toplum değerlerine ve normlarına zarar </w:t>
      </w:r>
      <w:proofErr w:type="gramStart"/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>veren  cinsel</w:t>
      </w:r>
      <w:proofErr w:type="gramEnd"/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taciz ve </w:t>
      </w:r>
      <w:proofErr w:type="spellStart"/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>mobbing</w:t>
      </w:r>
      <w:proofErr w:type="spellEnd"/>
      <w:r w:rsidRPr="00ED377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davranışlarını önlemek için üstlendiği sorumluluğu temsil etmektedir.</w:t>
      </w:r>
    </w:p>
    <w:p w:rsidR="00ED3778" w:rsidRPr="00ED3778" w:rsidRDefault="00ED3778" w:rsidP="00ED3778">
      <w:pPr>
        <w:pStyle w:val="ListeParagraf"/>
        <w:spacing w:line="360" w:lineRule="auto"/>
        <w:ind w:left="1418" w:right="5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3778" w:rsidRPr="00ED3778" w:rsidRDefault="00ED3778" w:rsidP="00ED3778">
      <w:pPr>
        <w:pStyle w:val="Balk1"/>
        <w:spacing w:before="166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Karşıtı Politikanın Stratejisi</w:t>
      </w:r>
    </w:p>
    <w:p w:rsidR="00ED3778" w:rsidRPr="00ED3778" w:rsidRDefault="00ED3778" w:rsidP="00ED3778">
      <w:pPr>
        <w:pStyle w:val="GvdeMetni"/>
        <w:spacing w:before="195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Bu değerler etrafında şekillenen 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karşıtı politika stratejisinin temel taşları şunlardır:</w:t>
      </w:r>
    </w:p>
    <w:p w:rsidR="00ED3778" w:rsidRPr="00ED3778" w:rsidRDefault="00ED3778" w:rsidP="00ED3778">
      <w:pPr>
        <w:pStyle w:val="GvdeMetni"/>
        <w:spacing w:before="195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mobbinge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karşı mücadelede farkındalık yaratmak üzere öğrencilere ve </w:t>
      </w:r>
      <w:r w:rsidRPr="00ED3778">
        <w:rPr>
          <w:rFonts w:ascii="Times New Roman" w:hAnsi="Times New Roman" w:cs="Times New Roman"/>
          <w:sz w:val="24"/>
          <w:szCs w:val="24"/>
        </w:rPr>
        <w:lastRenderedPageBreak/>
        <w:t xml:space="preserve">akademik ve idari personele yönelik 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mobbingin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ne olduğu, nasıl tanımlanabileceği, nasıl rapor edilebileceği ve nasıl önlenmesi gerektiği konularında eğitim ve bilinçlendirme çalışmaları yürütmek,</w:t>
      </w:r>
    </w:p>
    <w:p w:rsidR="00ED3778" w:rsidRPr="00ED3778" w:rsidRDefault="00ED3778" w:rsidP="00ED3778">
      <w:pPr>
        <w:pStyle w:val="GvdeMetni"/>
        <w:spacing w:before="195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politikasının ihlal edilmesi durumunda uygulanacak </w:t>
      </w:r>
      <w:proofErr w:type="gramStart"/>
      <w:r w:rsidRPr="00ED3778">
        <w:rPr>
          <w:rFonts w:ascii="Times New Roman" w:hAnsi="Times New Roman" w:cs="Times New Roman"/>
          <w:sz w:val="24"/>
          <w:szCs w:val="24"/>
        </w:rPr>
        <w:t>prosedürleri</w:t>
      </w:r>
      <w:proofErr w:type="gramEnd"/>
      <w:r w:rsidRPr="00ED3778">
        <w:rPr>
          <w:rFonts w:ascii="Times New Roman" w:hAnsi="Times New Roman" w:cs="Times New Roman"/>
          <w:sz w:val="24"/>
          <w:szCs w:val="24"/>
        </w:rPr>
        <w:t xml:space="preserve"> belirlemek,</w:t>
      </w:r>
    </w:p>
    <w:p w:rsidR="00ED3778" w:rsidRPr="00ED3778" w:rsidRDefault="00ED3778" w:rsidP="00ED3778">
      <w:pPr>
        <w:pStyle w:val="GvdeMetni"/>
        <w:spacing w:before="195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778">
        <w:rPr>
          <w:rFonts w:ascii="Times New Roman" w:hAnsi="Times New Roman" w:cs="Times New Roman"/>
          <w:sz w:val="24"/>
          <w:szCs w:val="24"/>
        </w:rPr>
        <w:t>şikayetlerini</w:t>
      </w:r>
      <w:proofErr w:type="gramEnd"/>
      <w:r w:rsidRPr="00ED3778">
        <w:rPr>
          <w:rFonts w:ascii="Times New Roman" w:hAnsi="Times New Roman" w:cs="Times New Roman"/>
          <w:sz w:val="24"/>
          <w:szCs w:val="24"/>
        </w:rPr>
        <w:t xml:space="preserve"> almak üzere teşvik edici mekanizmalar geliştirmek ve şikayetçilere destek sağlamak için etkili mekanizmalar oluşturmak,</w:t>
      </w:r>
    </w:p>
    <w:p w:rsidR="00ED3778" w:rsidRPr="00ED3778" w:rsidRDefault="00ED3778" w:rsidP="00ED3778">
      <w:pPr>
        <w:pStyle w:val="GvdeMetni"/>
        <w:spacing w:before="195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Cinsel tacize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mobbinge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uğrayan bireylere duygusal destek ve danışmanlık hizmetleri sunmak,</w:t>
      </w:r>
    </w:p>
    <w:p w:rsidR="00ED3778" w:rsidRPr="00ED3778" w:rsidRDefault="00ED3778" w:rsidP="00ED3778">
      <w:pPr>
        <w:pStyle w:val="GvdeMetni"/>
        <w:spacing w:before="195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politikalarının etkili bir şekilde uygulandığını ve sonuç verdiğini düzenli olarak izlemek ve değerlendirmek.</w:t>
      </w:r>
    </w:p>
    <w:p w:rsidR="00ED3778" w:rsidRDefault="00ED3778" w:rsidP="00ED3778">
      <w:pPr>
        <w:pStyle w:val="Balk1"/>
        <w:spacing w:before="165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Karşıtı Politikanın Hedefleri:</w:t>
      </w:r>
    </w:p>
    <w:p w:rsidR="000A6F22" w:rsidRPr="00ED3778" w:rsidRDefault="000A6F22" w:rsidP="00ED3778">
      <w:pPr>
        <w:pStyle w:val="Balk1"/>
        <w:spacing w:before="165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3778" w:rsidRPr="00ED3778" w:rsidRDefault="00ED3778" w:rsidP="00ED3778">
      <w:pPr>
        <w:pStyle w:val="ListeParagraf"/>
        <w:numPr>
          <w:ilvl w:val="0"/>
          <w:numId w:val="2"/>
        </w:numPr>
        <w:tabs>
          <w:tab w:val="left" w:pos="1254"/>
        </w:tabs>
        <w:spacing w:before="37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Üniversite topluluğundaki tüm üyeleri cinsel tacize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mobbinge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karşı korumak ve huzurlu ve güvenli bir eğitim ve çalışma ortamı yaratmak,</w:t>
      </w:r>
    </w:p>
    <w:p w:rsidR="00ED3778" w:rsidRPr="00ED3778" w:rsidRDefault="00ED3778" w:rsidP="00ED3778">
      <w:pPr>
        <w:tabs>
          <w:tab w:val="left" w:pos="1254"/>
        </w:tabs>
        <w:spacing w:before="37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3778" w:rsidRPr="00ED3778" w:rsidRDefault="00ED3778" w:rsidP="00ED3778">
      <w:pPr>
        <w:pStyle w:val="ListeParagraf"/>
        <w:numPr>
          <w:ilvl w:val="0"/>
          <w:numId w:val="2"/>
        </w:numPr>
        <w:tabs>
          <w:tab w:val="left" w:pos="125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olaylarının yaşanmaması adına gerekli tedbirleri almak ve bu konudaki farkındalığı arttırmak,</w:t>
      </w:r>
    </w:p>
    <w:p w:rsidR="00ED3778" w:rsidRPr="00ED3778" w:rsidRDefault="00ED3778" w:rsidP="00ED3778">
      <w:pPr>
        <w:pStyle w:val="ListeParagraf"/>
        <w:numPr>
          <w:ilvl w:val="0"/>
          <w:numId w:val="2"/>
        </w:numPr>
        <w:tabs>
          <w:tab w:val="left" w:pos="1254"/>
        </w:tabs>
        <w:spacing w:before="35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Üniversite topluluğunun tüm üyelerinin, 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mobbingle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mücadelede aktif bir şekilde katılımını sağlamak,</w:t>
      </w:r>
    </w:p>
    <w:p w:rsidR="00ED3778" w:rsidRPr="00ED3778" w:rsidRDefault="00ED3778" w:rsidP="00ED3778">
      <w:pPr>
        <w:pStyle w:val="ListeParagraf"/>
        <w:numPr>
          <w:ilvl w:val="0"/>
          <w:numId w:val="2"/>
        </w:numPr>
        <w:tabs>
          <w:tab w:val="left" w:pos="1254"/>
        </w:tabs>
        <w:spacing w:before="35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mobbinge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maruz kalan kişilere destek sağlamak.</w:t>
      </w:r>
    </w:p>
    <w:p w:rsidR="00ED3778" w:rsidRPr="00ED3778" w:rsidRDefault="00ED3778" w:rsidP="00ED3778">
      <w:pPr>
        <w:tabs>
          <w:tab w:val="left" w:pos="1254"/>
        </w:tabs>
        <w:spacing w:before="35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D3778" w:rsidRPr="00ED3778" w:rsidRDefault="00ED3778" w:rsidP="00ED3778">
      <w:pPr>
        <w:pStyle w:val="ListeParagraf"/>
        <w:numPr>
          <w:ilvl w:val="0"/>
          <w:numId w:val="2"/>
        </w:numPr>
        <w:tabs>
          <w:tab w:val="left" w:pos="1254"/>
        </w:tabs>
        <w:spacing w:before="37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 xml:space="preserve">Cinsel taciz ve </w:t>
      </w:r>
      <w:proofErr w:type="spellStart"/>
      <w:r w:rsidRPr="00ED3778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ED3778">
        <w:rPr>
          <w:rFonts w:ascii="Times New Roman" w:hAnsi="Times New Roman" w:cs="Times New Roman"/>
          <w:sz w:val="24"/>
          <w:szCs w:val="24"/>
        </w:rPr>
        <w:t xml:space="preserve"> eylemlerini gerçekleştirilen kişilere yönelik sıfır tolerans politikasıyla gerekli yaptırımları uygulamak.</w:t>
      </w:r>
    </w:p>
    <w:p w:rsidR="00ED3778" w:rsidRPr="00ED3778" w:rsidRDefault="00ED3778" w:rsidP="00ED3778">
      <w:pPr>
        <w:tabs>
          <w:tab w:val="left" w:pos="1254"/>
        </w:tabs>
        <w:spacing w:before="3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778" w:rsidRPr="00ED3778" w:rsidRDefault="00ED3778" w:rsidP="00ED3778">
      <w:pPr>
        <w:pStyle w:val="GvdeMetni"/>
        <w:spacing w:before="184" w:line="360" w:lineRule="auto"/>
        <w:ind w:left="567" w:right="546"/>
        <w:jc w:val="both"/>
        <w:rPr>
          <w:rFonts w:ascii="Times New Roman" w:hAnsi="Times New Roman" w:cs="Times New Roman"/>
          <w:sz w:val="24"/>
          <w:szCs w:val="24"/>
        </w:rPr>
      </w:pPr>
      <w:r w:rsidRPr="00ED3778">
        <w:rPr>
          <w:rFonts w:ascii="Times New Roman" w:hAnsi="Times New Roman" w:cs="Times New Roman"/>
          <w:sz w:val="24"/>
          <w:szCs w:val="24"/>
        </w:rPr>
        <w:t>Bu hedeflerin gerçekleşme derecesini izlemek için göstergeler oluşturulur. Gerçekleşme yüzdeleri tespit edilir, düzeltici ve iyileştirici önlemler alınır.</w:t>
      </w:r>
    </w:p>
    <w:p w:rsidR="00ED3778" w:rsidRPr="00ED3778" w:rsidRDefault="00ED3778" w:rsidP="00ED3778">
      <w:pPr>
        <w:pStyle w:val="GvdeMetni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161" w:rsidRPr="00ED3778" w:rsidRDefault="000A6F22">
      <w:pPr>
        <w:rPr>
          <w:rFonts w:ascii="Times New Roman" w:hAnsi="Times New Roman" w:cs="Times New Roman"/>
          <w:sz w:val="24"/>
          <w:szCs w:val="24"/>
        </w:rPr>
      </w:pPr>
    </w:p>
    <w:sectPr w:rsidR="00654161" w:rsidRPr="00ED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A20"/>
    <w:multiLevelType w:val="multilevel"/>
    <w:tmpl w:val="7414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226C3"/>
    <w:multiLevelType w:val="hybridMultilevel"/>
    <w:tmpl w:val="E31AEF60"/>
    <w:lvl w:ilvl="0" w:tplc="EB884A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486E17"/>
    <w:multiLevelType w:val="hybridMultilevel"/>
    <w:tmpl w:val="7A0ED432"/>
    <w:lvl w:ilvl="0" w:tplc="3968DBBC">
      <w:start w:val="1"/>
      <w:numFmt w:val="decimal"/>
      <w:lvlText w:val="%1."/>
      <w:lvlJc w:val="left"/>
      <w:pPr>
        <w:ind w:left="1526" w:hanging="428"/>
      </w:pPr>
      <w:rPr>
        <w:rFonts w:ascii="Tahoma" w:eastAsia="Tahoma" w:hAnsi="Tahoma" w:cs="Tahoma" w:hint="default"/>
        <w:spacing w:val="-1"/>
        <w:w w:val="99"/>
        <w:sz w:val="20"/>
        <w:szCs w:val="20"/>
        <w:lang w:val="tr-TR" w:eastAsia="en-US" w:bidi="ar-SA"/>
      </w:rPr>
    </w:lvl>
    <w:lvl w:ilvl="1" w:tplc="3D763856">
      <w:numFmt w:val="bullet"/>
      <w:lvlText w:val="•"/>
      <w:lvlJc w:val="left"/>
      <w:pPr>
        <w:ind w:left="2438" w:hanging="428"/>
      </w:pPr>
      <w:rPr>
        <w:rFonts w:hint="default"/>
        <w:lang w:val="tr-TR" w:eastAsia="en-US" w:bidi="ar-SA"/>
      </w:rPr>
    </w:lvl>
    <w:lvl w:ilvl="2" w:tplc="8416CBE6">
      <w:numFmt w:val="bullet"/>
      <w:lvlText w:val="•"/>
      <w:lvlJc w:val="left"/>
      <w:pPr>
        <w:ind w:left="3357" w:hanging="428"/>
      </w:pPr>
      <w:rPr>
        <w:rFonts w:hint="default"/>
        <w:lang w:val="tr-TR" w:eastAsia="en-US" w:bidi="ar-SA"/>
      </w:rPr>
    </w:lvl>
    <w:lvl w:ilvl="3" w:tplc="EAD69040">
      <w:numFmt w:val="bullet"/>
      <w:lvlText w:val="•"/>
      <w:lvlJc w:val="left"/>
      <w:pPr>
        <w:ind w:left="4275" w:hanging="428"/>
      </w:pPr>
      <w:rPr>
        <w:rFonts w:hint="default"/>
        <w:lang w:val="tr-TR" w:eastAsia="en-US" w:bidi="ar-SA"/>
      </w:rPr>
    </w:lvl>
    <w:lvl w:ilvl="4" w:tplc="5ED6B844">
      <w:numFmt w:val="bullet"/>
      <w:lvlText w:val="•"/>
      <w:lvlJc w:val="left"/>
      <w:pPr>
        <w:ind w:left="5194" w:hanging="428"/>
      </w:pPr>
      <w:rPr>
        <w:rFonts w:hint="default"/>
        <w:lang w:val="tr-TR" w:eastAsia="en-US" w:bidi="ar-SA"/>
      </w:rPr>
    </w:lvl>
    <w:lvl w:ilvl="5" w:tplc="BD10BD10">
      <w:numFmt w:val="bullet"/>
      <w:lvlText w:val="•"/>
      <w:lvlJc w:val="left"/>
      <w:pPr>
        <w:ind w:left="6113" w:hanging="428"/>
      </w:pPr>
      <w:rPr>
        <w:rFonts w:hint="default"/>
        <w:lang w:val="tr-TR" w:eastAsia="en-US" w:bidi="ar-SA"/>
      </w:rPr>
    </w:lvl>
    <w:lvl w:ilvl="6" w:tplc="8618EB40">
      <w:numFmt w:val="bullet"/>
      <w:lvlText w:val="•"/>
      <w:lvlJc w:val="left"/>
      <w:pPr>
        <w:ind w:left="7031" w:hanging="428"/>
      </w:pPr>
      <w:rPr>
        <w:rFonts w:hint="default"/>
        <w:lang w:val="tr-TR" w:eastAsia="en-US" w:bidi="ar-SA"/>
      </w:rPr>
    </w:lvl>
    <w:lvl w:ilvl="7" w:tplc="AAE8050A">
      <w:numFmt w:val="bullet"/>
      <w:lvlText w:val="•"/>
      <w:lvlJc w:val="left"/>
      <w:pPr>
        <w:ind w:left="7950" w:hanging="428"/>
      </w:pPr>
      <w:rPr>
        <w:rFonts w:hint="default"/>
        <w:lang w:val="tr-TR" w:eastAsia="en-US" w:bidi="ar-SA"/>
      </w:rPr>
    </w:lvl>
    <w:lvl w:ilvl="8" w:tplc="C6729382">
      <w:numFmt w:val="bullet"/>
      <w:lvlText w:val="•"/>
      <w:lvlJc w:val="left"/>
      <w:pPr>
        <w:ind w:left="8869" w:hanging="428"/>
      </w:pPr>
      <w:rPr>
        <w:rFonts w:hint="default"/>
        <w:lang w:val="tr-TR" w:eastAsia="en-US" w:bidi="ar-SA"/>
      </w:rPr>
    </w:lvl>
  </w:abstractNum>
  <w:abstractNum w:abstractNumId="3" w15:restartNumberingAfterBreak="0">
    <w:nsid w:val="3BC11E9C"/>
    <w:multiLevelType w:val="hybridMultilevel"/>
    <w:tmpl w:val="FD62535C"/>
    <w:lvl w:ilvl="0" w:tplc="600642CA">
      <w:start w:val="1"/>
      <w:numFmt w:val="decimal"/>
      <w:lvlText w:val="%1."/>
      <w:lvlJc w:val="left"/>
      <w:pPr>
        <w:ind w:left="1253" w:hanging="360"/>
      </w:pPr>
      <w:rPr>
        <w:rFonts w:ascii="Times New Roman" w:eastAsia="Tahoma" w:hAnsi="Times New Roman" w:cs="Times New Roman" w:hint="default"/>
        <w:b/>
        <w:spacing w:val="-1"/>
        <w:w w:val="99"/>
        <w:sz w:val="24"/>
        <w:szCs w:val="24"/>
        <w:lang w:val="tr-TR" w:eastAsia="en-US" w:bidi="ar-SA"/>
      </w:rPr>
    </w:lvl>
    <w:lvl w:ilvl="1" w:tplc="20BC2220">
      <w:numFmt w:val="bullet"/>
      <w:lvlText w:val="•"/>
      <w:lvlJc w:val="left"/>
      <w:pPr>
        <w:ind w:left="2204" w:hanging="360"/>
      </w:pPr>
      <w:rPr>
        <w:rFonts w:hint="default"/>
        <w:lang w:val="tr-TR" w:eastAsia="en-US" w:bidi="ar-SA"/>
      </w:rPr>
    </w:lvl>
    <w:lvl w:ilvl="2" w:tplc="A3C67704">
      <w:numFmt w:val="bullet"/>
      <w:lvlText w:val="•"/>
      <w:lvlJc w:val="left"/>
      <w:pPr>
        <w:ind w:left="3149" w:hanging="360"/>
      </w:pPr>
      <w:rPr>
        <w:rFonts w:hint="default"/>
        <w:lang w:val="tr-TR" w:eastAsia="en-US" w:bidi="ar-SA"/>
      </w:rPr>
    </w:lvl>
    <w:lvl w:ilvl="3" w:tplc="308483EE">
      <w:numFmt w:val="bullet"/>
      <w:lvlText w:val="•"/>
      <w:lvlJc w:val="left"/>
      <w:pPr>
        <w:ind w:left="4093" w:hanging="360"/>
      </w:pPr>
      <w:rPr>
        <w:rFonts w:hint="default"/>
        <w:lang w:val="tr-TR" w:eastAsia="en-US" w:bidi="ar-SA"/>
      </w:rPr>
    </w:lvl>
    <w:lvl w:ilvl="4" w:tplc="E1C4C086">
      <w:numFmt w:val="bullet"/>
      <w:lvlText w:val="•"/>
      <w:lvlJc w:val="left"/>
      <w:pPr>
        <w:ind w:left="5038" w:hanging="360"/>
      </w:pPr>
      <w:rPr>
        <w:rFonts w:hint="default"/>
        <w:lang w:val="tr-TR" w:eastAsia="en-US" w:bidi="ar-SA"/>
      </w:rPr>
    </w:lvl>
    <w:lvl w:ilvl="5" w:tplc="83D6426C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784A4FA2">
      <w:numFmt w:val="bullet"/>
      <w:lvlText w:val="•"/>
      <w:lvlJc w:val="left"/>
      <w:pPr>
        <w:ind w:left="6927" w:hanging="360"/>
      </w:pPr>
      <w:rPr>
        <w:rFonts w:hint="default"/>
        <w:lang w:val="tr-TR" w:eastAsia="en-US" w:bidi="ar-SA"/>
      </w:rPr>
    </w:lvl>
    <w:lvl w:ilvl="7" w:tplc="4D762B9A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11DEE944">
      <w:numFmt w:val="bullet"/>
      <w:lvlText w:val="•"/>
      <w:lvlJc w:val="left"/>
      <w:pPr>
        <w:ind w:left="881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9F0722B"/>
    <w:multiLevelType w:val="multilevel"/>
    <w:tmpl w:val="3C747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78"/>
    <w:rsid w:val="000A6F22"/>
    <w:rsid w:val="00370D2A"/>
    <w:rsid w:val="007A1F55"/>
    <w:rsid w:val="00D04A59"/>
    <w:rsid w:val="00E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4C35"/>
  <w15:chartTrackingRefBased/>
  <w15:docId w15:val="{17E02FB7-381A-417C-BFED-4C1828AA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377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ED3778"/>
    <w:pPr>
      <w:spacing w:before="157"/>
      <w:ind w:left="566" w:hanging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D3778"/>
    <w:rPr>
      <w:rFonts w:ascii="Tahoma" w:eastAsia="Tahoma" w:hAnsi="Tahoma" w:cs="Tahoma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D3778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3778"/>
    <w:rPr>
      <w:rFonts w:ascii="Tahoma" w:eastAsia="Tahoma" w:hAnsi="Tahoma" w:cs="Tahoma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1"/>
    <w:qFormat/>
    <w:rsid w:val="00ED3778"/>
    <w:pPr>
      <w:ind w:left="1241" w:hanging="281"/>
    </w:pPr>
  </w:style>
  <w:style w:type="paragraph" w:styleId="NormalWeb">
    <w:name w:val="Normal (Web)"/>
    <w:basedOn w:val="Normal"/>
    <w:uiPriority w:val="99"/>
    <w:semiHidden/>
    <w:unhideWhenUsed/>
    <w:rsid w:val="00ED37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Güzin ALSAN</dc:creator>
  <cp:keywords/>
  <dc:description/>
  <cp:lastModifiedBy>Aslıhan Güzin ALSAN</cp:lastModifiedBy>
  <cp:revision>2</cp:revision>
  <dcterms:created xsi:type="dcterms:W3CDTF">2023-11-02T13:15:00Z</dcterms:created>
  <dcterms:modified xsi:type="dcterms:W3CDTF">2023-11-02T13:15:00Z</dcterms:modified>
</cp:coreProperties>
</file>